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2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3960" w:val="left"/>
          <w:tab w:leader="none" w:pos="4380" w:val="left"/>
        </w:tabs>
        <w:rPr>
          <w:sz w:val="20"/>
          <w:szCs w:val="20"/>
          <w:color w:val="auto"/>
        </w:rPr>
      </w:pPr>
      <w:r>
        <w:rPr>
          <w:rFonts w:ascii="Arial" w:cs="Arial" w:eastAsia="Arial" w:hAnsi="Arial"/>
          <w:sz w:val="18"/>
          <w:szCs w:val="18"/>
          <w:b w:val="1"/>
          <w:bCs w:val="1"/>
          <w:color w:val="auto"/>
        </w:rPr>
        <w:t>For the transition period from</w:t>
        <w:tab/>
        <w:t>to</w:t>
      </w:r>
      <w:r>
        <w:rPr>
          <w:sz w:val="20"/>
          <w:szCs w:val="20"/>
          <w:color w:val="auto"/>
        </w:rPr>
        <w:tab/>
      </w:r>
      <w:r>
        <w:rPr>
          <w:rFonts w:ascii="Arial" w:cs="Arial" w:eastAsia="Arial" w:hAnsi="Arial"/>
          <w:sz w:val="14"/>
          <w:szCs w:val="14"/>
          <w:b w:val="1"/>
          <w:bCs w:val="1"/>
          <w:color w:val="auto"/>
        </w:rPr>
        <w:t>.</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47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5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780" w:type="dxa"/>
            <w:vAlign w:val="bottom"/>
          </w:tcPr>
          <w:p>
            <w:pPr>
              <w:jc w:val="center"/>
              <w:ind w:right="1850"/>
              <w:spacing w:after="0"/>
              <w:rPr>
                <w:sz w:val="20"/>
                <w:szCs w:val="20"/>
                <w:color w:val="auto"/>
              </w:rPr>
            </w:pPr>
            <w:r>
              <w:rPr>
                <w:rFonts w:ascii="Arial" w:cs="Arial" w:eastAsia="Arial" w:hAnsi="Arial"/>
                <w:sz w:val="18"/>
                <w:szCs w:val="18"/>
                <w:i w:val="1"/>
                <w:iCs w:val="1"/>
                <w:color w:val="auto"/>
                <w:w w:val="94"/>
              </w:rPr>
              <w:t>(State or other jurisdiction of</w:t>
            </w:r>
          </w:p>
        </w:tc>
        <w:tc>
          <w:tcPr>
            <w:tcW w:w="330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4"/>
              </w:rPr>
              <w:t>incorporation or organization)</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47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0"/>
              </w:rPr>
              <w:t>28903 North Avenue Paine</w:t>
            </w:r>
          </w:p>
        </w:tc>
        <w:tc>
          <w:tcPr>
            <w:tcW w:w="3300" w:type="dxa"/>
            <w:vAlign w:val="bottom"/>
          </w:tcPr>
          <w:p>
            <w:pPr>
              <w:spacing w:after="0"/>
              <w:rPr>
                <w:sz w:val="24"/>
                <w:szCs w:val="24"/>
                <w:color w:val="auto"/>
              </w:rPr>
            </w:pPr>
          </w:p>
        </w:tc>
      </w:tr>
      <w:tr>
        <w:trPr>
          <w:trHeight w:val="220"/>
        </w:trPr>
        <w:tc>
          <w:tcPr>
            <w:tcW w:w="4780" w:type="dxa"/>
            <w:vAlign w:val="bottom"/>
          </w:tcPr>
          <w:p>
            <w:pPr>
              <w:jc w:val="center"/>
              <w:ind w:right="1870"/>
              <w:spacing w:after="0"/>
              <w:rPr>
                <w:sz w:val="20"/>
                <w:szCs w:val="20"/>
                <w:color w:val="auto"/>
              </w:rPr>
            </w:pPr>
            <w:r>
              <w:rPr>
                <w:rFonts w:ascii="Arial" w:cs="Arial" w:eastAsia="Arial" w:hAnsi="Arial"/>
                <w:sz w:val="18"/>
                <w:szCs w:val="18"/>
                <w:b w:val="1"/>
                <w:bCs w:val="1"/>
                <w:color w:val="auto"/>
                <w:w w:val="92"/>
              </w:rPr>
              <w:t>Valencia, California</w:t>
            </w:r>
          </w:p>
        </w:tc>
        <w:tc>
          <w:tcPr>
            <w:tcW w:w="3300" w:type="dxa"/>
            <w:vAlign w:val="bottom"/>
          </w:tcPr>
          <w:p>
            <w:pPr>
              <w:jc w:val="right"/>
              <w:ind w:right="350"/>
              <w:spacing w:after="0"/>
              <w:rPr>
                <w:sz w:val="20"/>
                <w:szCs w:val="20"/>
                <w:color w:val="auto"/>
              </w:rPr>
            </w:pPr>
            <w:r>
              <w:rPr>
                <w:rFonts w:ascii="Arial" w:cs="Arial" w:eastAsia="Arial" w:hAnsi="Arial"/>
                <w:sz w:val="18"/>
                <w:szCs w:val="18"/>
                <w:b w:val="1"/>
                <w:bCs w:val="1"/>
                <w:color w:val="auto"/>
              </w:rPr>
              <w:t>91355</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Registrant’s telephone number, including area code)</w:t>
      </w:r>
    </w:p>
    <w:p>
      <w:pPr>
        <w:spacing w:after="0" w:line="103" w:lineRule="exact"/>
        <w:rPr>
          <w:sz w:val="20"/>
          <w:szCs w:val="20"/>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122" w:right="379" w:bottom="1440" w:gutter="0" w:footer="0" w:header="0"/>
        </w:sectPr>
      </w:pPr>
    </w:p>
    <w:p>
      <w:pPr>
        <w:spacing w:after="0" w:line="14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380" w:space="720"/>
            <w:col w:w="1480" w:space="720"/>
            <w:col w:w="3340" w:space="500"/>
            <w:col w:w="2140"/>
          </w:cols>
          <w:pgMar w:left="240" w:top="122" w:right="379" w:bottom="1440" w:gutter="0" w:footer="0" w:header="0"/>
          <w:type w:val="continuous"/>
        </w:sect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o No </w:t>
      </w:r>
      <w:r>
        <w:rPr>
          <w:rFonts w:ascii="MS PGothic" w:cs="MS PGothic" w:eastAsia="MS PGothic" w:hAnsi="MS PGothic"/>
          <w:sz w:val="17"/>
          <w:szCs w:val="17"/>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As of August 1, 2008, there were 101,598,408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2" w:right="379" w:bottom="1440" w:gutter="0" w:footer="0" w:header="0"/>
          <w:type w:val="continuous"/>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FINANCIAL INFORMATION</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Financial Statements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June 30, 2008 and December 31, 2007</w:t>
        </w:r>
      </w:hyperlink>
    </w:p>
    <w:p>
      <w:pPr>
        <w:spacing w:after="0" w:line="9" w:lineRule="exact"/>
        <w:rPr>
          <w:sz w:val="20"/>
          <w:szCs w:val="20"/>
          <w:color w:val="auto"/>
        </w:rPr>
      </w:pPr>
    </w:p>
    <w:p>
      <w:pPr>
        <w:ind w:left="220" w:hanging="202"/>
        <w:spacing w:after="0" w:line="250"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Statements of Operations: Three and six months ended June 30, 2008 and 2007 and the period from inception (February 14, 1991) to June 30,</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2008</w:t>
        </w:r>
      </w:hyperlink>
    </w:p>
    <w:p>
      <w:pPr>
        <w:spacing w:after="0" w:line="1" w:lineRule="exact"/>
        <w:rPr>
          <w:sz w:val="20"/>
          <w:szCs w:val="20"/>
          <w:color w:val="auto"/>
        </w:rPr>
      </w:pPr>
    </w:p>
    <w:p>
      <w:pPr>
        <w:ind w:right="280"/>
        <w:spacing w:after="0" w:line="250"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Statements of Cash Flows: Six months ended June 30, 2008 and 2007 and the period from inception (February 14, 1991) to June 30, 2008</w:t>
        </w:r>
      </w:hyperlink>
      <w:r>
        <w:rPr>
          <w:rFonts w:ascii="Arial" w:cs="Arial" w:eastAsia="Arial" w:hAnsi="Arial"/>
          <w:sz w:val="18"/>
          <w:szCs w:val="18"/>
          <w:u w:val="single" w:color="auto"/>
          <w:color w:val="0000EE"/>
        </w:rPr>
        <w:t xml:space="preserve"> </w:t>
      </w:r>
      <w:hyperlink w:anchor="page8">
        <w:r>
          <w:rPr>
            <w:rFonts w:ascii="Arial" w:cs="Arial" w:eastAsia="Arial" w:hAnsi="Arial"/>
            <w:sz w:val="18"/>
            <w:szCs w:val="18"/>
            <w:u w:val="single" w:color="auto"/>
            <w:color w:val="0000EE"/>
          </w:rPr>
          <w:t>Notes to Condensed Financial Statements</w:t>
        </w:r>
      </w:hyperlink>
    </w:p>
    <w:p>
      <w:pPr>
        <w:spacing w:after="0" w:line="1" w:lineRule="exact"/>
        <w:rPr>
          <w:sz w:val="20"/>
          <w:szCs w:val="20"/>
          <w:color w:val="auto"/>
        </w:rPr>
      </w:pPr>
    </w:p>
    <w:p>
      <w:pPr>
        <w:ind w:right="4040"/>
        <w:spacing w:after="0" w:line="250" w:lineRule="auto"/>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18">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19">
        <w:r>
          <w:rPr>
            <w:rFonts w:ascii="Arial" w:cs="Arial" w:eastAsia="Arial" w:hAnsi="Arial"/>
            <w:sz w:val="18"/>
            <w:szCs w:val="18"/>
            <w:u w:val="single" w:color="auto"/>
            <w:color w:val="0000EE"/>
          </w:rPr>
          <w:t>Item 4. Controls and Procedures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PART II: 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1. Legal Proceedings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1A. Risk Factors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2. Unregistered Sales of Equity Securities and Use of Proceeds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3. Defaults Upon Senior Securities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4. Submission of Matters to a Vote of Security Holders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5. 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6. Exhibits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EXHIBIT 31.1</w:t>
      </w:r>
    </w:p>
    <w:p>
      <w:pPr>
        <w:spacing w:after="0" w:line="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EXHIBIT 31.2</w:t>
      </w:r>
    </w:p>
    <w:p>
      <w:pPr>
        <w:spacing w:after="0" w:line="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EXHIBIT 32</w:t>
      </w:r>
    </w:p>
    <w:p>
      <w:pPr>
        <w:spacing w:after="0" w:line="9"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7"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u w:val="single" w:color="auto"/>
          <w:color w:val="0000EE"/>
        </w:rPr>
        <w:t>EXHIBIT 32</w:t>
      </w:r>
    </w:p>
    <w:p>
      <w:pPr>
        <w:spacing w:after="0" w:line="186" w:lineRule="exact"/>
        <w:rPr>
          <w:rFonts w:ascii="Arial" w:cs="Arial" w:eastAsia="Arial" w:hAnsi="Arial"/>
          <w:sz w:val="18"/>
          <w:szCs w:val="18"/>
          <w:u w:val="single" w:color="auto"/>
          <w:color w:val="0000EE"/>
        </w:rPr>
      </w:pPr>
    </w:p>
    <w:p>
      <w:pPr>
        <w:jc w:val="center"/>
        <w:ind w:right="-35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958" w:right="5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June 30, 2008</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December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324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180,454</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State research and development credit exchange</w:t>
            </w:r>
          </w:p>
        </w:tc>
        <w:tc>
          <w:tcPr>
            <w:tcW w:w="10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187,707</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378,712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208,742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399,248</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543,443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16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30,084</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61,958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10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112,004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111,761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173,962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179,343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Undesignated preferred stock, $0.01 par value —— 10,000,000 shares authorized; no shares issued</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 outstanding at June 30, 2008 and December 31, 2007</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tcPr>
          <w:p>
            <w:pPr>
              <w:spacing w:after="0" w:line="201" w:lineRule="exact"/>
              <w:rPr>
                <w:sz w:val="20"/>
                <w:szCs w:val="20"/>
                <w:color w:val="auto"/>
              </w:rPr>
            </w:pPr>
            <w:r>
              <w:rPr>
                <w:rFonts w:ascii="Arial" w:cs="Arial" w:eastAsia="Arial" w:hAnsi="Arial"/>
                <w:sz w:val="18"/>
                <w:szCs w:val="18"/>
                <w:color w:val="auto"/>
                <w:w w:val="97"/>
              </w:rPr>
              <w:t>Common stock, $0.01 par value — 150,000,000 shares authorized; 101,594,745 and 101,380,823</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shares issued and outstanding at June 30, 2008 and December 31, 2007, respectively</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1,016</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1,456,556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1,444,125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(1,232,286)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(1,081,039)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225,286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399,248</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543,443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80" w:type="dxa"/>
            <w:vAlign w:val="bottom"/>
            <w:gridSpan w:val="6"/>
            <w:vMerge w:val="restart"/>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2"/>
                <w:szCs w:val="12"/>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8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9"/>
              </w:rPr>
              <w:t>June 30,</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89"/>
              </w:rPr>
              <w:t>2008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67,574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61,480</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126,019</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125,268</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873,059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13,290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13,913</w:t>
            </w:r>
          </w:p>
        </w:tc>
        <w:tc>
          <w:tcPr>
            <w:tcW w:w="160" w:type="dxa"/>
            <w:vAlign w:val="bottom"/>
          </w:tcPr>
          <w:p>
            <w:pPr>
              <w:spacing w:after="0"/>
              <w:rPr>
                <w:sz w:val="18"/>
                <w:szCs w:val="18"/>
                <w:color w:val="auto"/>
              </w:rPr>
            </w:pPr>
          </w:p>
        </w:tc>
        <w:tc>
          <w:tcPr>
            <w:tcW w:w="1360" w:type="dxa"/>
            <w:vAlign w:val="bottom"/>
            <w:gridSpan w:val="2"/>
          </w:tcPr>
          <w:p>
            <w:pPr>
              <w:jc w:val="right"/>
              <w:ind w:right="564"/>
              <w:spacing w:after="0"/>
              <w:rPr>
                <w:sz w:val="20"/>
                <w:szCs w:val="20"/>
                <w:color w:val="auto"/>
              </w:rPr>
            </w:pPr>
            <w:r>
              <w:rPr>
                <w:rFonts w:ascii="Arial" w:cs="Arial" w:eastAsia="Arial" w:hAnsi="Arial"/>
                <w:sz w:val="18"/>
                <w:szCs w:val="18"/>
                <w:color w:val="auto"/>
              </w:rPr>
              <w:t>28,930</w:t>
            </w:r>
          </w:p>
        </w:tc>
        <w:tc>
          <w:tcPr>
            <w:tcW w:w="2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27,463</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219,429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In-process research and development costs</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18"/>
                <w:szCs w:val="18"/>
                <w:color w:val="auto"/>
              </w:rPr>
            </w:pPr>
          </w:p>
        </w:tc>
        <w:tc>
          <w:tcPr>
            <w:tcW w:w="126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75,393</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154,949</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152,731</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1,263,642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(80,864)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(75,393)</w:t>
            </w: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(154,929)</w:t>
            </w: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(152,721)</w:t>
            </w: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(1,260,654)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Interest expense on note payable to principal</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stockholder</w:t>
            </w:r>
          </w:p>
        </w:tc>
        <w:tc>
          <w:tcPr>
            <w:tcW w:w="180" w:type="dxa"/>
            <w:vAlign w:val="bottom"/>
          </w:tcPr>
          <w:p>
            <w:pPr>
              <w:spacing w:after="0"/>
              <w:rPr>
                <w:sz w:val="20"/>
                <w:szCs w:val="20"/>
                <w:color w:val="auto"/>
              </w:rPr>
            </w:pPr>
          </w:p>
        </w:tc>
        <w:tc>
          <w:tcPr>
            <w:tcW w:w="126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6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(901)</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(461)</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(2,046)</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1,222</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4,261</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564"/>
              <w:spacing w:after="0"/>
              <w:rPr>
                <w:sz w:val="20"/>
                <w:szCs w:val="20"/>
                <w:color w:val="auto"/>
              </w:rPr>
            </w:pPr>
            <w:r>
              <w:rPr>
                <w:rFonts w:ascii="Arial" w:cs="Arial" w:eastAsia="Arial" w:hAnsi="Arial"/>
                <w:sz w:val="18"/>
                <w:szCs w:val="18"/>
                <w:color w:val="auto"/>
              </w:rPr>
              <w:t>4,143</w:t>
            </w:r>
          </w:p>
        </w:tc>
        <w:tc>
          <w:tcPr>
            <w:tcW w:w="2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9,541</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35,875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(79,826)</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(71,989)</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w w:val="98"/>
              </w:rPr>
              <w:t>(151,247)</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(145,130)</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126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(79,826)</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(71,989)</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w w:val="98"/>
              </w:rPr>
              <w:t>(151,247)</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(145,130)</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(1,232,286)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Deemed dividend related to beneficial</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conversion feature of convertible preferred</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stock</w:t>
            </w:r>
          </w:p>
        </w:tc>
        <w:tc>
          <w:tcPr>
            <w:tcW w:w="180" w:type="dxa"/>
            <w:vAlign w:val="bottom"/>
          </w:tcPr>
          <w:p>
            <w:pPr>
              <w:spacing w:after="0"/>
              <w:rPr>
                <w:sz w:val="20"/>
                <w:szCs w:val="20"/>
                <w:color w:val="auto"/>
              </w:rPr>
            </w:pPr>
          </w:p>
        </w:tc>
        <w:tc>
          <w:tcPr>
            <w:tcW w:w="1260" w:type="dxa"/>
            <w:vAlign w:val="bottom"/>
            <w:gridSpan w:val="3"/>
          </w:tcPr>
          <w:p>
            <w:pPr>
              <w:jc w:val="right"/>
              <w:ind w:right="52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60" w:type="dxa"/>
            <w:vAlign w:val="bottom"/>
            <w:gridSpan w:val="2"/>
          </w:tcPr>
          <w:p>
            <w:pPr>
              <w:jc w:val="right"/>
              <w:ind w:right="56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(79,826</w:t>
            </w:r>
          </w:p>
        </w:tc>
        <w:tc>
          <w:tcPr>
            <w:tcW w:w="600" w:type="dxa"/>
            <w:vAlign w:val="bottom"/>
            <w:gridSpan w:val="2"/>
          </w:tcPr>
          <w:p>
            <w:pPr>
              <w:jc w:val="right"/>
              <w:ind w:right="468"/>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(71,989</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(151,247</w:t>
            </w:r>
          </w:p>
        </w:tc>
        <w:tc>
          <w:tcPr>
            <w:tcW w:w="640" w:type="dxa"/>
            <w:vAlign w:val="bottom"/>
          </w:tcPr>
          <w:p>
            <w:pPr>
              <w:jc w:val="right"/>
              <w:ind w:right="504"/>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(145,130</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(1,255,498)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applicable to common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 basic and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(0.79)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(0.98)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w w:val="99"/>
              </w:rPr>
              <w:t>Shares used to compute basic and diluted net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loss per share applicable to common</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101,427</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73,421</w:t>
            </w:r>
          </w:p>
        </w:tc>
        <w:tc>
          <w:tcPr>
            <w:tcW w:w="160" w:type="dxa"/>
            <w:vAlign w:val="bottom"/>
          </w:tcPr>
          <w:p>
            <w:pPr>
              <w:spacing w:after="0"/>
              <w:rPr>
                <w:sz w:val="20"/>
                <w:szCs w:val="20"/>
                <w:color w:val="auto"/>
              </w:rPr>
            </w:pPr>
          </w:p>
        </w:tc>
        <w:tc>
          <w:tcPr>
            <w:tcW w:w="1360" w:type="dxa"/>
            <w:vAlign w:val="bottom"/>
            <w:gridSpan w:val="2"/>
          </w:tcPr>
          <w:p>
            <w:pPr>
              <w:jc w:val="right"/>
              <w:ind w:right="564"/>
              <w:spacing w:after="0"/>
              <w:rPr>
                <w:sz w:val="20"/>
                <w:szCs w:val="20"/>
                <w:color w:val="auto"/>
              </w:rPr>
            </w:pPr>
            <w:r>
              <w:rPr>
                <w:rFonts w:ascii="Arial" w:cs="Arial" w:eastAsia="Arial" w:hAnsi="Arial"/>
                <w:sz w:val="18"/>
                <w:szCs w:val="18"/>
                <w:color w:val="auto"/>
              </w:rPr>
              <w:t>101,418</w:t>
            </w:r>
          </w:p>
        </w:tc>
        <w:tc>
          <w:tcPr>
            <w:tcW w:w="24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73,405</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940" w:type="dxa"/>
            <w:vAlign w:val="bottom"/>
            <w:gridSpan w:val="5"/>
            <w:vMerge w:val="restart"/>
          </w:tcPr>
          <w:p>
            <w:pPr>
              <w:jc w:val="center"/>
              <w:ind w:left="611"/>
              <w:spacing w:after="0"/>
              <w:rPr>
                <w:sz w:val="20"/>
                <w:szCs w:val="20"/>
                <w:color w:val="auto"/>
              </w:rPr>
            </w:pPr>
            <w:r>
              <w:rPr>
                <w:rFonts w:ascii="Arial" w:cs="Arial" w:eastAsia="Arial" w:hAnsi="Arial"/>
                <w:sz w:val="14"/>
                <w:szCs w:val="14"/>
                <w:b w:val="1"/>
                <w:bCs w:val="1"/>
                <w:color w:val="auto"/>
                <w:w w:val="89"/>
              </w:rPr>
              <w:t>Six months ended</w:t>
            </w: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June 30,</w:t>
            </w:r>
          </w:p>
        </w:tc>
        <w:tc>
          <w:tcPr>
            <w:tcW w:w="700" w:type="dxa"/>
            <w:vAlign w:val="bottom"/>
            <w:vMerge w:val="restart"/>
          </w:tcPr>
          <w:p>
            <w:pPr>
              <w:jc w:val="right"/>
              <w:ind w:right="230"/>
              <w:spacing w:after="0"/>
              <w:rPr>
                <w:sz w:val="20"/>
                <w:szCs w:val="20"/>
                <w:color w:val="auto"/>
              </w:rPr>
            </w:pPr>
            <w:r>
              <w:rPr>
                <w:rFonts w:ascii="Arial" w:cs="Arial" w:eastAsia="Arial" w:hAnsi="Arial"/>
                <w:sz w:val="14"/>
                <w:szCs w:val="14"/>
                <w:b w:val="1"/>
                <w:bCs w:val="1"/>
                <w:color w:val="auto"/>
              </w:rPr>
              <w:t>2007</w:t>
            </w:r>
          </w:p>
        </w:tc>
        <w:tc>
          <w:tcPr>
            <w:tcW w:w="7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  (151,247)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w w:val="95"/>
              </w:rPr>
              <w:t>(145,130)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  (1,232,286)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3,804</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4,165</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51,931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12,068</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8,803</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00"/>
              <w:spacing w:after="0"/>
              <w:rPr>
                <w:sz w:val="20"/>
                <w:szCs w:val="20"/>
                <w:color w:val="auto"/>
              </w:rPr>
            </w:pPr>
            <w:r>
              <w:rPr>
                <w:rFonts w:ascii="Arial" w:cs="Arial" w:eastAsia="Arial" w:hAnsi="Arial"/>
                <w:sz w:val="18"/>
                <w:szCs w:val="18"/>
                <w:color w:val="auto"/>
              </w:rPr>
              <w:t>Stock expense for shares issued pursuant to research agreement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sale and abandonment/disposal of property and equipment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00"/>
              <w:spacing w:after="0"/>
              <w:rPr>
                <w:sz w:val="20"/>
                <w:szCs w:val="20"/>
                <w:color w:val="auto"/>
              </w:rPr>
            </w:pPr>
            <w:r>
              <w:rPr>
                <w:rFonts w:ascii="Arial" w:cs="Arial" w:eastAsia="Arial" w:hAnsi="Arial"/>
                <w:sz w:val="18"/>
                <w:szCs w:val="18"/>
                <w:color w:val="auto"/>
              </w:rPr>
              <w:t>Accrued interest on investments, net of amortization of premiums</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In-process research and development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00"/>
              <w:spacing w:after="0"/>
              <w:rPr>
                <w:sz w:val="20"/>
                <w:szCs w:val="20"/>
                <w:color w:val="auto"/>
              </w:rPr>
            </w:pPr>
            <w:r>
              <w:rPr>
                <w:rFonts w:ascii="Arial" w:cs="Arial" w:eastAsia="Arial" w:hAnsi="Arial"/>
                <w:sz w:val="18"/>
                <w:szCs w:val="18"/>
                <w:color w:val="auto"/>
              </w:rPr>
              <w:t>Discount on stockholder notes below market rate</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Non-cash compensation expense of officer resulting from stockholder</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contribution</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00"/>
              <w:spacing w:after="0"/>
              <w:rPr>
                <w:sz w:val="20"/>
                <w:szCs w:val="20"/>
                <w:color w:val="auto"/>
              </w:rPr>
            </w:pPr>
            <w:r>
              <w:rPr>
                <w:rFonts w:ascii="Arial" w:cs="Arial" w:eastAsia="Arial" w:hAnsi="Arial"/>
                <w:sz w:val="18"/>
                <w:szCs w:val="18"/>
                <w:color w:val="auto"/>
              </w:rPr>
              <w:t>Accrued interest expense on notes payable to stockholders</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interest expense</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00"/>
              <w:spacing w:after="0"/>
              <w:rPr>
                <w:sz w:val="20"/>
                <w:szCs w:val="20"/>
                <w:color w:val="auto"/>
              </w:rPr>
            </w:pPr>
            <w:r>
              <w:rPr>
                <w:rFonts w:ascii="Arial" w:cs="Arial" w:eastAsia="Arial" w:hAnsi="Arial"/>
                <w:sz w:val="18"/>
                <w:szCs w:val="18"/>
                <w:color w:val="auto"/>
              </w:rPr>
              <w:t>Accrued interest on notes receivable</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Goodwill impairment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00"/>
              <w:spacing w:after="0"/>
              <w:rPr>
                <w:sz w:val="20"/>
                <w:szCs w:val="20"/>
                <w:color w:val="auto"/>
              </w:rPr>
            </w:pPr>
            <w:r>
              <w:rPr>
                <w:rFonts w:ascii="Arial" w:cs="Arial" w:eastAsia="Arial" w:hAnsi="Arial"/>
                <w:sz w:val="18"/>
                <w:szCs w:val="18"/>
                <w:color w:val="auto"/>
              </w:rPr>
              <w:t>Loss on available-for-sale securities</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600"/>
              <w:spacing w:after="0"/>
              <w:rPr>
                <w:sz w:val="20"/>
                <w:szCs w:val="20"/>
                <w:color w:val="auto"/>
              </w:rPr>
            </w:pPr>
            <w:r>
              <w:rPr>
                <w:rFonts w:ascii="Arial" w:cs="Arial" w:eastAsia="Arial" w:hAnsi="Arial"/>
                <w:sz w:val="18"/>
                <w:szCs w:val="18"/>
                <w:color w:val="auto"/>
              </w:rPr>
              <w:t>State research and development credit exchange receivable</w:t>
            </w: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(750)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2,343</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(184)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(5,982)</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(5,062)</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600"/>
              <w:spacing w:after="0"/>
              <w:rPr>
                <w:sz w:val="20"/>
                <w:szCs w:val="20"/>
                <w:color w:val="auto"/>
              </w:rPr>
            </w:pPr>
            <w:r>
              <w:rPr>
                <w:rFonts w:ascii="Arial" w:cs="Arial" w:eastAsia="Arial" w:hAnsi="Arial"/>
                <w:sz w:val="18"/>
                <w:szCs w:val="18"/>
                <w:color w:val="auto"/>
              </w:rPr>
              <w:t>Accrued expenses and other current liabilities</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(1,174)</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10,722</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26,185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(127,450)</w:t>
            </w:r>
          </w:p>
        </w:tc>
        <w:tc>
          <w:tcPr>
            <w:tcW w:w="76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(888,550)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(3,450)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(726,950)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Sales of marketable securities</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52,775</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(48,255)</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(26,120)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(257,659)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800"/>
              <w:spacing w:after="0"/>
              <w:rPr>
                <w:sz w:val="20"/>
                <w:szCs w:val="20"/>
                <w:color w:val="auto"/>
              </w:rPr>
            </w:pPr>
            <w:r>
              <w:rPr>
                <w:rFonts w:ascii="Arial" w:cs="Arial" w:eastAsia="Arial" w:hAnsi="Arial"/>
                <w:sz w:val="18"/>
                <w:szCs w:val="18"/>
                <w:color w:val="auto"/>
              </w:rPr>
              <w:t>Net cash (used in) provided by investing activities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(48,185)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23,205</w:t>
            </w:r>
          </w:p>
        </w:tc>
        <w:tc>
          <w:tcPr>
            <w:tcW w:w="76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(257,660)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Issuance of common stock and warrants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1,178</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1,140,070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Borrowings under lines of credit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Borrowings on notes payable from principal stockholder</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Proceeds from senior convertible notes</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7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1,326,664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2"/>
              </w:rPr>
              <w:t>June 30,</w:t>
            </w:r>
          </w:p>
        </w:tc>
        <w:tc>
          <w:tcPr>
            <w:tcW w:w="7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(187,831)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(103,126)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368,285</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319,555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180,454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216,429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180,454</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Interest paid in cash</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2,192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on redeemable convertible preferred stock</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Issuance of common stock upon conversion of notes payable</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additional paid-in capital resulting from merger</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Issuance of common stock for notes receivable</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put option by stockholder</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Put option redemption by stockholder</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Series C convertible preferred stock subscriptions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Issuance of Series A redeemable convertible preferred stock</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Series A redeemable convertible preferred stock</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Noncash construction in progress</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14,775</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7,792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transfer from fixed assets to other current assets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accompanying unaudited condensed financial statements of MannKind Corporation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These statements should be read in conjunction with the financial statements and notes thereto included in the Company’s latest audited annual financial statements. The audited statements for the year ended December 31, 2007 are included in the Company’s annual report on Form 10-K for the fiscal year ended December 31, 2007 filed with the SEC on March 14, 2008 (the “Annual Report”).</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six months ended June 30, 2008 may not be indicative of the results that may be expected for the full year.</w:t>
      </w:r>
    </w:p>
    <w:p>
      <w:pPr>
        <w:spacing w:after="0" w:line="7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condensed financial statements involve accrued expenses, the valuation of stock-based compensation and the determination of the provision for income taxes and corresponding deferred tax assets and liabilities and any valuation allowance recorded against net deferred tax assets.</w:t>
      </w:r>
    </w:p>
    <w:p>
      <w:pPr>
        <w:spacing w:after="0" w:line="6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Business </w:t>
      </w:r>
      <w:r>
        <w:rPr>
          <w:rFonts w:ascii="Arial" w:cs="Arial" w:eastAsia="Arial" w:hAnsi="Arial"/>
          <w:sz w:val="18"/>
          <w:szCs w:val="18"/>
          <w:color w:val="auto"/>
        </w:rPr>
        <w:t>— MannKind Corporation is a biopharmaceutical company focused on the discovery, development and commercialization of therapeutic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diseases such as diabetes and cancer. The Company’s lead investigational product candidate, the Technosphere Insulin System, is currently in Phase 3 clinical trials in the United States, Europe and Latin America to study its safety and efficacy in the treatment of diabetes. The Technosphere Insulin System consists of the Company’s proprietary Technosphere particles onto which insulin molecules are loaded. These loaded particles are then aerosolized and inhaled deep into the lung using the Company’s MedTone inhaler.</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Basis of Presentation — </w:t>
      </w:r>
      <w:r>
        <w:rPr>
          <w:rFonts w:ascii="Arial" w:cs="Arial" w:eastAsia="Arial" w:hAnsi="Arial"/>
          <w:sz w:val="16"/>
          <w:szCs w:val="16"/>
          <w:color w:val="auto"/>
        </w:rPr>
        <w:t>The Company is considered to be in the development stage as its primary activities since incorporation have been establishing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facilities, recruiting personnel, conducting research and development, business development, business and financial planning, and raising capital. Since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inception through June 30, 2008, the Company has reported accumulated net losses of $1.2 billion, which include a goodwill impairment charge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$151.4 million, and negative cash flow from operations of $888.6 million. It is costly to develop therapeutic products and conduct clinical trials for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products. Based upon the Company’s current expectations, management believes the Company’s existing capital resources, including the $350.0 million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arrangement with our principal stockholder, will enable it to continue planned operations through the fourth quarter of 2009. However, the Company cannot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assurances that its plans will not change or that changed circumstances will not result in the depletion of its capital resources more rapidly than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currently anticipates. Accordingly, the Company expects that it will need to raise additional capital, either through the sale of equity and/or debt securities,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strategic business collaboration with a pharmaceutical company or the establishment of other funding facilities, in order to continue the development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commercialization of its Technosphere Insulin System and other product candidates and to support its other ongoing activities.</w:t>
      </w:r>
    </w:p>
    <w:p>
      <w:pPr>
        <w:spacing w:after="0" w:line="103"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Recently Issued Accounting Standards — </w:t>
      </w:r>
      <w:r>
        <w:rPr>
          <w:rFonts w:ascii="Arial" w:cs="Arial" w:eastAsia="Arial" w:hAnsi="Arial"/>
          <w:sz w:val="17"/>
          <w:szCs w:val="17"/>
          <w:color w:val="auto"/>
        </w:rPr>
        <w:t>In December 2007, the Financial Accounting Standards Board (“FASB”) ratified the Emerging Issues Task Force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(“EITF”) consensus on EITF Issue No. 07-1, </w:t>
      </w:r>
      <w:r>
        <w:rPr>
          <w:rFonts w:ascii="Arial" w:cs="Arial" w:eastAsia="Arial" w:hAnsi="Arial"/>
          <w:sz w:val="17"/>
          <w:szCs w:val="17"/>
          <w:i w:val="1"/>
          <w:iCs w:val="1"/>
          <w:color w:val="auto"/>
        </w:rPr>
        <w:t>Accounting for Collaborative Arrangements,</w:t>
      </w:r>
      <w:r>
        <w:rPr>
          <w:rFonts w:ascii="Arial" w:cs="Arial" w:eastAsia="Arial" w:hAnsi="Arial"/>
          <w:sz w:val="17"/>
          <w:szCs w:val="17"/>
          <w:color w:val="auto"/>
        </w:rPr>
        <w:t xml:space="preserve"> that discusses how parties to a collaborative arrangement (which does not establish a legal entity within such arrangement) should account for various activities. The consensus indicates that costs incurred and revenues generated from transactions with third parties (i.e. parties outside of the collaborative arrangement) should be reported by the collaborators on the respective line items in their income statements pursuant to EITF Issue No. 99-19, </w:t>
      </w:r>
      <w:r>
        <w:rPr>
          <w:rFonts w:ascii="Arial" w:cs="Arial" w:eastAsia="Arial" w:hAnsi="Arial"/>
          <w:sz w:val="17"/>
          <w:szCs w:val="17"/>
          <w:i w:val="1"/>
          <w:iCs w:val="1"/>
          <w:color w:val="auto"/>
        </w:rPr>
        <w:t>Reporting Revenue Gross as a Principal Versus Net as an Agent.</w:t>
      </w:r>
      <w:r>
        <w:rPr>
          <w:rFonts w:ascii="Arial" w:cs="Arial" w:eastAsia="Arial" w:hAnsi="Arial"/>
          <w:sz w:val="17"/>
          <w:szCs w:val="17"/>
          <w:color w:val="auto"/>
        </w:rPr>
        <w:t xml:space="preserve"> Additionally, the consensus provides that income statement characterization of payments between the participants in a collaborative arrangement should be based upon existing authoritative pronouncements; analogy to such pronouncements if not within their scope; or a reasonable, rational, and consistently applied accounting policy election. EITF Issue No. 07-1 is effective beginning January 1, 2009 and is to be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applied retrospectively to all periods presented for collaborative arrangements existing as of the date of adoption. The Company is evaluating the impact, if any, the adoption of this consensus will have on its results of operations, financial position or cash flows.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December 2007, the FASB issued Statement of Financial Accounting Standard (“SFAS”) No.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SFAS No. 160, </w:t>
      </w:r>
      <w:r>
        <w:rPr>
          <w:rFonts w:ascii="Arial" w:cs="Arial" w:eastAsia="Arial" w:hAnsi="Arial"/>
          <w:sz w:val="18"/>
          <w:szCs w:val="18"/>
          <w:i w:val="1"/>
          <w:iCs w:val="1"/>
          <w:color w:val="auto"/>
        </w:rPr>
        <w:t xml:space="preserve">“Accounting and Reporting of Noncontrolling Interests to Consolidated Financial Statements —— an amendment of ARB No. 51” </w:t>
      </w:r>
      <w:r>
        <w:rPr>
          <w:rFonts w:ascii="Arial" w:cs="Arial" w:eastAsia="Arial" w:hAnsi="Arial"/>
          <w:sz w:val="18"/>
          <w:szCs w:val="18"/>
          <w:color w:val="auto"/>
        </w:rPr>
        <w:t>(“SFAS No. 160”). These</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will significantly change the accounting and reporting for business combination transactions and noncontrolling (minority) interests in consolidated financial statements, including capitalizing at the acquisition date the fair value of acquired in-process research and development, and remeasuring and writing down the assets, if necessary, in subsequent periods during their development. These new standards will be applied prospectively for business combinations that occur on or after January 1, 2009, except that presentation and disclosure requirements of SFAS No. 160 regarding noncontrolling interests shall be applied retrospectively.</w:t>
      </w:r>
    </w:p>
    <w:p>
      <w:pPr>
        <w:spacing w:after="0" w:line="8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In September 2006, the FASB issued SFAS No. 157</w:t>
      </w:r>
      <w:r>
        <w:rPr>
          <w:rFonts w:ascii="Arial" w:cs="Arial" w:eastAsia="Arial" w:hAnsi="Arial"/>
          <w:sz w:val="17"/>
          <w:szCs w:val="17"/>
          <w:i w:val="1"/>
          <w:iCs w:val="1"/>
          <w:color w:val="auto"/>
        </w:rPr>
        <w:t>, Fair Value Measurements</w:t>
      </w:r>
      <w:r>
        <w:rPr>
          <w:rFonts w:ascii="Arial" w:cs="Arial" w:eastAsia="Arial" w:hAnsi="Arial"/>
          <w:sz w:val="17"/>
          <w:szCs w:val="17"/>
          <w:color w:val="auto"/>
        </w:rPr>
        <w:t xml:space="preserve"> (“SFAS No. 157”), which defines fair value, establishes a framework for consistently measuring fair value for accounting purposes, and expands disclosures about fair value measurements. SFAS No. 157 is effective for the Company beginning January 1, 2008, and the provisions of SFAS No. 157 will be applied prospectively as of that date. In February 2008, FASB Staff Position (“FSP”) 157-2 was issued, which delays the effective date of SFAS No. 157 to fiscal years beginning after November 15, 2008 and interim periods with those fiscal years for all nonfinancial assets and liabilities, except those that are recognized or disclosed at fair value in the financial statements on a recurring basis (at least annually). The Company has already adopted this Statement except as it applies to nonfinancial assets and liabilities as noted in FSP 157-2. The partial adoption of SFAS No. 157 did not have a material impact on the Company’s results of operations, financial position or cash flows. The Company is evaluating the impact, if any, that the adoption of SFAS No. 157, as it relates to nonfinancial assets and liabilities, will have on its results of operations, financial position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11,989</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12,613</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11,657</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3,926</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4,736</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5,751</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3,521</w:t>
            </w:r>
          </w:p>
        </w:tc>
      </w:tr>
      <w:tr>
        <w:trPr>
          <w:trHeight w:val="223"/>
        </w:trPr>
        <w:tc>
          <w:tcPr>
            <w:tcW w:w="83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31,874</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32,095</w:t>
            </w:r>
          </w:p>
        </w:tc>
        <w:tc>
          <w:tcPr>
            <w:tcW w:w="320" w:type="dxa"/>
            <w:vAlign w:val="bottom"/>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for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recognized in the accompanying condensed statements of operations for the three and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2008 and 2007 was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4"/>
          </w:tcPr>
          <w:p>
            <w:pPr>
              <w:jc w:val="center"/>
              <w:ind w:left="442"/>
              <w:spacing w:after="0"/>
              <w:rPr>
                <w:sz w:val="20"/>
                <w:szCs w:val="20"/>
                <w:color w:val="auto"/>
              </w:rPr>
            </w:pPr>
            <w:r>
              <w:rPr>
                <w:rFonts w:ascii="Arial" w:cs="Arial" w:eastAsia="Arial" w:hAnsi="Arial"/>
                <w:sz w:val="14"/>
                <w:szCs w:val="14"/>
                <w:b w:val="1"/>
                <w:bCs w:val="1"/>
                <w:color w:val="auto"/>
                <w:w w:val="91"/>
              </w:rPr>
              <w:t>Three months ended</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60" w:type="dxa"/>
            <w:vAlign w:val="bottom"/>
            <w:gridSpan w:val="3"/>
          </w:tcPr>
          <w:p>
            <w:pPr>
              <w:jc w:val="center"/>
              <w:ind w:left="482"/>
              <w:spacing w:after="0"/>
              <w:rPr>
                <w:sz w:val="20"/>
                <w:szCs w:val="20"/>
                <w:color w:val="auto"/>
              </w:rPr>
            </w:pPr>
            <w:r>
              <w:rPr>
                <w:rFonts w:ascii="Arial" w:cs="Arial" w:eastAsia="Arial" w:hAnsi="Arial"/>
                <w:sz w:val="14"/>
                <w:szCs w:val="14"/>
                <w:b w:val="1"/>
                <w:bCs w:val="1"/>
                <w:color w:val="auto"/>
                <w:w w:val="89"/>
              </w:rPr>
              <w:t>Six months ended</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145"/>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70"/>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vMerge w:val="restart"/>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89"/>
              </w:rPr>
              <w:t>2007</w:t>
            </w:r>
          </w:p>
        </w:tc>
        <w:tc>
          <w:tcPr>
            <w:tcW w:w="800" w:type="dxa"/>
            <w:vAlign w:val="bottom"/>
          </w:tcPr>
          <w:p>
            <w:pPr>
              <w:spacing w:after="0"/>
              <w:rPr>
                <w:sz w:val="12"/>
                <w:szCs w:val="12"/>
                <w:color w:val="auto"/>
              </w:rPr>
            </w:pPr>
          </w:p>
        </w:tc>
        <w:tc>
          <w:tcPr>
            <w:tcW w:w="82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2008</w:t>
            </w:r>
          </w:p>
        </w:tc>
        <w:tc>
          <w:tcPr>
            <w:tcW w:w="7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6,634</w:t>
            </w:r>
          </w:p>
        </w:tc>
        <w:tc>
          <w:tcPr>
            <w:tcW w:w="20" w:type="dxa"/>
            <w:vAlign w:val="bottom"/>
            <w:tcBorders>
              <w:bottom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8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   12,068</w:t>
            </w:r>
          </w:p>
        </w:tc>
        <w:tc>
          <w:tcPr>
            <w:tcW w:w="7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2008, there were $18.9 million and $20.8 million of unrecognized compensation costs related to options and restricted stock units, respectively, which are expected to be recognized over the remaining weighted average vesting period of 2.4 years.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May 22, 2008, the Company’s stockholders approved an amendment to the 2004 Equity Incentive Plan to increase the number of shares of common stock available for issuance under the plan by 5,000,000 shares.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February 6, 2008, the Compensation Committee approved a management proposal designed to encourage employee retention. The proposal involved the issuance of restricted stock units to the majority of employees and executive officers of the Company. A total of 1,678,674 restricted stock units were granted under the 2004 Equity Incentive Plan. These units will remain unvested until June 30, 2009, at which point they will fully vest. Stock compensation expense associated with these grants will be recorded on a straight line basis from February 6, 2008 through June 30, 2009 and is estimated to total approximately $11.0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common share</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Basic net loss per share excludes dilution for potentially dilutive securities and is computed by dividing loss 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condensed statements of operations because the reported net loss in each of these periods results in their inclusion being antidilutive. Antidilutive securities, which consist of outstanding stock options, unvested restricted stock units, unexercised warrants, and shares that could be issued upon conversion of the senior convertible notes, that are not included in the diluted net loss per share calculation consisted of an aggregate of 17,985,754 shares and 15,242,217 shares as of June 30, 2008 and 2007,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State research and development credit exchange receivable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At June 30, 2008, the estimated amount receivable under the program was $2.3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6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6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Useful</w:t>
            </w:r>
          </w:p>
        </w:tc>
        <w:tc>
          <w:tcPr>
            <w:tcW w:w="140" w:type="dxa"/>
            <w:vAlign w:val="bottom"/>
          </w:tcPr>
          <w:p>
            <w:pPr>
              <w:spacing w:after="0"/>
              <w:rPr>
                <w:sz w:val="12"/>
                <w:szCs w:val="12"/>
                <w:color w:val="auto"/>
              </w:rPr>
            </w:pPr>
          </w:p>
        </w:tc>
        <w:tc>
          <w:tcPr>
            <w:tcW w:w="11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w w:val="96"/>
              </w:rPr>
              <w:t>June 30,</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6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5,273</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Buildings</w:t>
            </w:r>
          </w:p>
        </w:tc>
        <w:tc>
          <w:tcPr>
            <w:tcW w:w="900" w:type="dxa"/>
            <w:vAlign w:val="bottom"/>
          </w:tcPr>
          <w:p>
            <w:pPr>
              <w:jc w:val="right"/>
              <w:spacing w:after="0"/>
              <w:rPr>
                <w:sz w:val="20"/>
                <w:szCs w:val="20"/>
                <w:color w:val="auto"/>
              </w:rPr>
            </w:pPr>
            <w:r>
              <w:rPr>
                <w:rFonts w:ascii="Arial" w:cs="Arial" w:eastAsia="Arial" w:hAnsi="Arial"/>
                <w:sz w:val="18"/>
                <w:szCs w:val="18"/>
                <w:color w:val="auto"/>
              </w:rPr>
              <w:t>39-40</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9,566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64,048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52,438</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35,279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30,172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8,039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121,733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89,657</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Deposits on equipment</w:t>
            </w: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252,736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203,409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(43,994)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(40,726)</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208,742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162,683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the shorter of the term of the lease or the service lives of the improvements.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related to property and equipment for the three and six months ended June 30, 2008 and 2007 was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20" w:type="dxa"/>
            <w:vAlign w:val="bottom"/>
            <w:gridSpan w:val="3"/>
          </w:tcPr>
          <w:p>
            <w:pPr>
              <w:jc w:val="center"/>
              <w:ind w:left="442"/>
              <w:spacing w:after="0"/>
              <w:rPr>
                <w:sz w:val="20"/>
                <w:szCs w:val="20"/>
                <w:color w:val="auto"/>
              </w:rPr>
            </w:pPr>
            <w:r>
              <w:rPr>
                <w:rFonts w:ascii="Arial" w:cs="Arial" w:eastAsia="Arial" w:hAnsi="Arial"/>
                <w:sz w:val="14"/>
                <w:szCs w:val="14"/>
                <w:b w:val="1"/>
                <w:bCs w:val="1"/>
                <w:color w:val="auto"/>
                <w:w w:val="91"/>
              </w:rPr>
              <w:t>Three months ended</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3"/>
          </w:tcPr>
          <w:p>
            <w:pPr>
              <w:jc w:val="center"/>
              <w:ind w:left="482"/>
              <w:spacing w:after="0"/>
              <w:rPr>
                <w:sz w:val="20"/>
                <w:szCs w:val="20"/>
                <w:color w:val="auto"/>
              </w:rPr>
            </w:pPr>
            <w:r>
              <w:rPr>
                <w:rFonts w:ascii="Arial" w:cs="Arial" w:eastAsia="Arial" w:hAnsi="Arial"/>
                <w:sz w:val="14"/>
                <w:szCs w:val="14"/>
                <w:b w:val="1"/>
                <w:bCs w:val="1"/>
                <w:color w:val="auto"/>
                <w:w w:val="91"/>
              </w:rPr>
              <w:t>Six months ended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8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vMerge w:val="restart"/>
          </w:tcPr>
          <w:p>
            <w:pPr>
              <w:spacing w:after="0"/>
              <w:rPr>
                <w:sz w:val="20"/>
                <w:szCs w:val="20"/>
                <w:color w:val="auto"/>
              </w:rPr>
            </w:pPr>
            <w:r>
              <w:rPr>
                <w:rFonts w:ascii="Arial" w:cs="Arial" w:eastAsia="Arial" w:hAnsi="Arial"/>
                <w:sz w:val="18"/>
                <w:szCs w:val="18"/>
                <w:color w:val="auto"/>
              </w:rPr>
              <w:t>Depreciation expense</w:t>
            </w:r>
          </w:p>
        </w:tc>
        <w:tc>
          <w:tcPr>
            <w:tcW w:w="74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2008</w:t>
            </w:r>
          </w:p>
        </w:tc>
        <w:tc>
          <w:tcPr>
            <w:tcW w:w="8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1,807</w:t>
            </w:r>
          </w:p>
        </w:tc>
        <w:tc>
          <w:tcPr>
            <w:tcW w:w="8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   3,561</w:t>
            </w:r>
          </w:p>
        </w:tc>
        <w:tc>
          <w:tcPr>
            <w:tcW w:w="8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Capitalized interest added to property and equipment during the three and six months ended June 30, 2008 and 2007 was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80" w:type="dxa"/>
            <w:vAlign w:val="bottom"/>
            <w:gridSpan w:val="3"/>
          </w:tcPr>
          <w:p>
            <w:pPr>
              <w:jc w:val="center"/>
              <w:ind w:left="402"/>
              <w:spacing w:after="0"/>
              <w:rPr>
                <w:sz w:val="20"/>
                <w:szCs w:val="20"/>
                <w:color w:val="auto"/>
              </w:rPr>
            </w:pPr>
            <w:r>
              <w:rPr>
                <w:rFonts w:ascii="Arial" w:cs="Arial" w:eastAsia="Arial" w:hAnsi="Arial"/>
                <w:sz w:val="14"/>
                <w:szCs w:val="14"/>
                <w:b w:val="1"/>
                <w:bCs w:val="1"/>
                <w:color w:val="auto"/>
                <w:w w:val="91"/>
              </w:rPr>
              <w:t>Three months ended</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gridSpan w:val="3"/>
          </w:tcPr>
          <w:p>
            <w:pPr>
              <w:jc w:val="center"/>
              <w:ind w:left="402"/>
              <w:spacing w:after="0"/>
              <w:rPr>
                <w:sz w:val="20"/>
                <w:szCs w:val="20"/>
                <w:color w:val="auto"/>
              </w:rPr>
            </w:pPr>
            <w:r>
              <w:rPr>
                <w:rFonts w:ascii="Arial" w:cs="Arial" w:eastAsia="Arial" w:hAnsi="Arial"/>
                <w:sz w:val="14"/>
                <w:szCs w:val="14"/>
                <w:b w:val="1"/>
                <w:bCs w:val="1"/>
                <w:color w:val="auto"/>
                <w:w w:val="91"/>
              </w:rPr>
              <w:t>Six months ended</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05"/>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85"/>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vMerge w:val="restart"/>
          </w:tcPr>
          <w:p>
            <w:pPr>
              <w:spacing w:after="0"/>
              <w:rPr>
                <w:sz w:val="20"/>
                <w:szCs w:val="20"/>
                <w:color w:val="auto"/>
              </w:rPr>
            </w:pPr>
            <w:r>
              <w:rPr>
                <w:rFonts w:ascii="Arial" w:cs="Arial" w:eastAsia="Arial" w:hAnsi="Arial"/>
                <w:sz w:val="18"/>
                <w:szCs w:val="18"/>
                <w:color w:val="auto"/>
              </w:rPr>
              <w:t>Capitalized Interest</w:t>
            </w:r>
          </w:p>
        </w:tc>
        <w:tc>
          <w:tcPr>
            <w:tcW w:w="2300" w:type="dxa"/>
            <w:vAlign w:val="bottom"/>
          </w:tcPr>
          <w:p>
            <w:pPr>
              <w:spacing w:after="0"/>
              <w:rPr>
                <w:sz w:val="12"/>
                <w:szCs w:val="12"/>
                <w:color w:val="auto"/>
              </w:rPr>
            </w:pPr>
          </w:p>
        </w:tc>
        <w:tc>
          <w:tcPr>
            <w:tcW w:w="74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2007</w:t>
            </w:r>
          </w:p>
        </w:tc>
        <w:tc>
          <w:tcPr>
            <w:tcW w:w="820" w:type="dxa"/>
            <w:vAlign w:val="bottom"/>
          </w:tcPr>
          <w:p>
            <w:pPr>
              <w:spacing w:after="0"/>
              <w:rPr>
                <w:sz w:val="12"/>
                <w:szCs w:val="12"/>
                <w:color w:val="auto"/>
              </w:rPr>
            </w:pPr>
          </w:p>
        </w:tc>
        <w:tc>
          <w:tcPr>
            <w:tcW w:w="74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2007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1,076</w:t>
            </w:r>
          </w:p>
        </w:tc>
        <w:tc>
          <w:tcPr>
            <w:tcW w:w="9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8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1,937</w:t>
            </w:r>
          </w:p>
        </w:tc>
        <w:tc>
          <w:tcPr>
            <w:tcW w:w="8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3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5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4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sale of common stock in the private placement which closed in August 2005, the Company concurrently issued warrants to purchase up to 3,426,000 shares of common stock at an exercise price of $12.228 per share. These warrants became exercisable in February 2006 and expire in August 2010. During the six months ended June 30, 2008, no warrants were exercised. As of June 30, 2008, warrants to purchase 2,882,873 shares of common stock remained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b w:val="1"/>
          <w:bCs w:val="1"/>
          <w:i w:val="1"/>
          <w:iCs w:val="1"/>
          <w:color w:val="auto"/>
        </w:rPr>
        <w:t xml:space="preserve">Supply Commitments </w:t>
      </w:r>
      <w:r>
        <w:rPr>
          <w:rFonts w:ascii="Arial" w:cs="Arial" w:eastAsia="Arial" w:hAnsi="Arial"/>
          <w:sz w:val="18"/>
          <w:szCs w:val="18"/>
          <w:color w:val="auto"/>
        </w:rPr>
        <w:t>— As of June 30, 2008, the Company had a binding annual commitment for insulin purchases aggregating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$116.0 million. These purchases are expected to be delivered from 2009 through 2012.</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Guarantees and Indemnifications — </w:t>
      </w:r>
      <w:r>
        <w:rPr>
          <w:rFonts w:ascii="Arial" w:cs="Arial" w:eastAsia="Arial" w:hAnsi="Arial"/>
          <w:sz w:val="16"/>
          <w:szCs w:val="16"/>
          <w:color w:val="auto"/>
        </w:rPr>
        <w:t>In the ordinary course of its business, the Company makes certain indemnities, commitments and guarantees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The Company is involved in various legal proceedings and other matters. In accordance with SFAS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would record a provision for a liability when it is both probable that a liability has been incurred and the amount of the loss can be reasonably estimated.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Related-Party Loan Arrangement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On August 2, 2006, the Company entered into a $150.0 million loan arrangement with its principal stockholder, which was amended on August 1, 2007 and replaced with a new loan arrangement on October 2, 2007. Under the new arrangement, the Company can borrow up to a total of $350.0 million before January 1, 2010. From April 1, 2008 until September 30, 2008, the Company can borrow up to $150.0 million in one or more advances, and from March 1, 2009 until December 31, 2009, the Company can borrow the remaining $200.0 million plus any amount not previously borrowed in one or more advances. The Company may not borrow more than one advance in any 12-month period, and each advance must be not less than $50.0 million. Interest will accrue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will be payable quarterly in arrears. Principal repayment is due on December 31, 2011. At any time after January 1, 2010, the principal stockholder can require the Company to prepay up to $200.0 million in advances that have been outstanding for at least 12 months. If the principal stockholder exercises this right, the Company will have until the earlier of 180 days after the principal stockholder provides written notice or December 31, 2011 to prepay such advances. In the event of a default, all unpaid principal and interest either becomes immediately due and payable or may be accelerated at the principal stockholder’s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the Company’s common stock.</w:t>
      </w:r>
    </w:p>
    <w:p>
      <w:pPr>
        <w:spacing w:after="0" w:line="6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Under the previous loan arrangement, the Company borrowed $50.0 million on August 2, 2006 and $20.0 million on November 27, 2006. On December 12, 2006, the Company paid off the total borrowings of $70.0 million following the completion of concurrent offerings of convertible notes and common stock. As of June 30, 2008 and December 31, 2007, there was no balance outstanding or accrued interest related to the $350.0 million loan arrangement.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Senior convertible notes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December 12, 2006, the Company completed an offering of $115.0 million aggregate principal amount of 3.75% Senior Convertible Notes due 2013 (the “Notes”), including $15.0 million aggregate principal amount of the Notes sold pursuant to the underwriters’ over-allotment option that was exercised in full. The Notes are governed by the terms of an indenture dated as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November 1, 2006 and a First Supplemental Indenture, dated as of December 12, 2006. The Notes bear interest at the rate of 3.75% per year on the principal amount of the Notes, payable in cash semi-annually in arrears on June 15 and December 15 of each year, beginning June 15, 2007. As of June 30, 2008 and December 31, 2007, the Company had accrued interest of $0.2 million and $0.2 million, respectively, related to the Notes. The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is December 15, 2013 and payment is due in full on that date for unconverted securities. Holders may convert, at any time prior to the close of business on the business day immediately preceding the stated maturity date, any outstanding Notes into shares of the Company’s common stock at an initial conversion rate of 44.5002 shares per $1,000 principal amount of Notes, which is equal to a conversion price of approximately $22.47 per share, subject to adjustment. Except in certain circumstances, if the Company undergoes a fundamental change: (1) the Company will pay a make-whole premium on the Notes converted in connection with a fundamental change by increasing the conversion rate on such Notes, which amount, if any, will be based on the Company’s common stock price and the effective date of the fundamental change, and (2) each holder of the Notes will have the option to require the Company to repurchase all or any portion of such holder’s Notes at a repurchase price of 100% of the principal amount of the Notes to be repurchased plus accrued and unpaid interest, if any. The Company incurred approximately $3.7 million in issuance costs which are recorded as an offset to the Notes in the accompanying condensed consolidated balance sheets. These costs and are being amortized to interest expense using the effective interest method over the term of the Notes.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debt issuance expense during the three and six months ended June 30, 2008 and 2007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Three months ended</w:t>
            </w:r>
          </w:p>
        </w:tc>
        <w:tc>
          <w:tcPr>
            <w:tcW w:w="420" w:type="dxa"/>
            <w:vAlign w:val="bottom"/>
          </w:tcPr>
          <w:p>
            <w:pPr>
              <w:spacing w:after="0"/>
              <w:rPr>
                <w:sz w:val="14"/>
                <w:szCs w:val="14"/>
                <w:color w:val="auto"/>
              </w:rPr>
            </w:pPr>
          </w:p>
        </w:tc>
        <w:tc>
          <w:tcPr>
            <w:tcW w:w="1640" w:type="dxa"/>
            <w:vAlign w:val="bottom"/>
            <w:gridSpan w:val="3"/>
          </w:tcPr>
          <w:p>
            <w:pPr>
              <w:jc w:val="center"/>
              <w:ind w:left="402"/>
              <w:spacing w:after="0"/>
              <w:rPr>
                <w:sz w:val="20"/>
                <w:szCs w:val="20"/>
                <w:color w:val="auto"/>
              </w:rPr>
            </w:pPr>
            <w:r>
              <w:rPr>
                <w:rFonts w:ascii="Arial" w:cs="Arial" w:eastAsia="Arial" w:hAnsi="Arial"/>
                <w:sz w:val="14"/>
                <w:szCs w:val="14"/>
                <w:b w:val="1"/>
                <w:bCs w:val="1"/>
                <w:color w:val="auto"/>
                <w:w w:val="89"/>
              </w:rPr>
              <w:t>Six months ended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vMerge w:val="restart"/>
          </w:tcPr>
          <w:p>
            <w:pPr>
              <w:spacing w:after="0"/>
              <w:rPr>
                <w:sz w:val="20"/>
                <w:szCs w:val="20"/>
                <w:color w:val="auto"/>
              </w:rPr>
            </w:pPr>
            <w:r>
              <w:rPr>
                <w:rFonts w:ascii="Arial" w:cs="Arial" w:eastAsia="Arial" w:hAnsi="Arial"/>
                <w:sz w:val="18"/>
                <w:szCs w:val="18"/>
                <w:color w:val="auto"/>
              </w:rPr>
              <w:t>Amortization of debt issuance expense</w:t>
            </w:r>
          </w:p>
        </w:tc>
        <w:tc>
          <w:tcPr>
            <w:tcW w:w="60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122</w:t>
            </w:r>
          </w:p>
        </w:tc>
        <w:tc>
          <w:tcPr>
            <w:tcW w:w="20" w:type="dxa"/>
            <w:vAlign w:val="bottom"/>
            <w:tcBorders>
              <w:bottom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117</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243</w:t>
            </w:r>
          </w:p>
        </w:tc>
        <w:tc>
          <w:tcPr>
            <w:tcW w:w="8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As discussed in Note 16 to the financial statements in the Company’s Annual Report, management of the Company has concluded, in accordance with applicable accounting standards, that it is more likely than not that the Company may not realize the benefit of its deferred tax assets. Accordingly, net deferred tax assets have been fully reserved.</w:t>
      </w:r>
    </w:p>
    <w:p>
      <w:pPr>
        <w:spacing w:after="0" w:line="7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July 2006, the FASB issued FASB Interpretation No. 48, </w:t>
      </w:r>
      <w:r>
        <w:rPr>
          <w:rFonts w:ascii="Arial" w:cs="Arial" w:eastAsia="Arial" w:hAnsi="Arial"/>
          <w:sz w:val="17"/>
          <w:szCs w:val="17"/>
          <w:i w:val="1"/>
          <w:iCs w:val="1"/>
          <w:color w:val="auto"/>
        </w:rPr>
        <w:t>Accounting for Uncertainty in Income Taxes—an interpretation of FASB Statement No. 109</w:t>
      </w:r>
      <w:r>
        <w:rPr>
          <w:rFonts w:ascii="Arial" w:cs="Arial" w:eastAsia="Arial" w:hAnsi="Arial"/>
          <w:sz w:val="17"/>
          <w:szCs w:val="17"/>
          <w:color w:val="auto"/>
        </w:rPr>
        <w:t xml:space="preserve"> (“FIN 48”), which clarifies the accounting and disclosure for uncertainty in tax positions, as defined. FIN 48 seeks to reduce the diversity in practice associated with certain aspects of the recognition and measurement related to accounting for income taxes. The Company is subject to the provisions of FIN 48 as of January 1, 2007.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FIN 48. The cumulative effect, if any, of applying FIN 48 is to be reported as an adjustment to the opening balance of retained earnings in the year of adoption. The Company did not record a cumulative effect adjustment related to the adoption of FIN 48. Tax years since 1992 remain subject to examination by the major tax jurisdictions in which the Company is subject to tax.</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9, 2008, the Company announced an Offer to Exchange Outstanding Options to Purchase Common Stock (the “Offer”) under which the Company offered eligible employees the opportunity to exchange certain of their out-of-the money stock options, on a grant by grant basis, for a reduced number of restricted stock units. Eligible options consisted of outstanding stock options under the 2004 Equity Incentive Plan that had an exercise price equal to or greater than $7.00 per share. Eligible employees included all persons employed by the Company as of the Offer date and excluded members of the Board of Directors who were not Company employees. Options to purchase approximately 5.4 million shares of our common stock were eligible for exchange pursuant to the Offer.</w:t>
      </w:r>
    </w:p>
    <w:p>
      <w:pPr>
        <w:spacing w:after="0" w:line="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Offer permitted eligible options that were subject to time-based vesting to be exchanged for restricted stock units that vest according to the following vesting schedule: 50% on August 1, 2009, 25% on February 1, 2010, and 25% on August 1, 2010. The Offer permitted eligible options that were subject to performance-based vesting to be exchanged for restricted stock units that vest in three installments as follows: 20% upon the acceptance by the U.S. Food and Drug Administration (“FDA”) of a filing of a New Drug Application (“NDA”) for Technosphere Insulin, 30% upon approval from the FDA to market Technosphere Insulin and 50% upon the first commercial sale of Technosphere Insulin.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Under the Offer, the ratio of shares of our common stock underlying eligible options to be exchanged for restricted stock units was established at 2:1. This Offer expired on August 6, 2008. Pursuant to the Offer, the Company accepted for exchange options to purchase an aggregate of 4,493,509 shares of the Company’s common stock from 322 eligible participants, representing 83% of the shares subject to options that were eligible to be exchanged in the Offer. Upon the terms and subject to the conditions set forth in the Offer, the Company will issue restricted stock units covering an aggregate of 2,246,781 shares of the Company’s common stock in exchange for the options surrendered pursuant to the Offer.</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newly issued restricted stock units, both the remaining unamortized stock compensation expense related to the exchanged options and the incremental stock compensation expense resulting from the exchange will be amortized over the vesting periods of the newly issued restricted stock units. The extent of incremental stock compensation expense will be dependent upon the fair values of the options exchanged as compared to the Company’s closing stock price of $4.23 on August 6, 2008.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(this “Quarterly Report”). These interim condensed financial statements and this Management’s Discussion and Analysis of Financial Condition and Results of Operations should be read in conjunction with the financial statements and notes for the year ended December 31, 2007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MannKind Corporation is a biopharmaceutical company focused on the discovery, development and commercialization of therapeutic products for diseases such as diabetes and cancer. Our lead investigational product candidate, the Technosphere Insulin System, is currently in Phase 3 clinical trials in the United States, Europe and Latin America to study its safety and efficacy in the treatment of diabetes. This dry powder therapy consists of our proprietary Technosphere particles onto which insulin molecules are loaded. These loaded particles are then aerosolized and inhaled into the deep lung using our proprietary MedTone inhaler. We believe that the performance characteristics, unique kinetics, convenience and ease of use of the Technosphere Insulin System may have the potential to change the way diabetes is treated. Currently, we are conducting clinical trials to evaluate the safety and efficacy of another Technosphere-based product for the treatment of diabetes and are developing additional formulations of active compounds loaded onto Technosphere particles. We are also developing therapies for the treatment of different types of cancer. Our other product candidates are at the research stage or in pre-clinical development.</w:t>
      </w:r>
    </w:p>
    <w:p>
      <w:pPr>
        <w:spacing w:after="0" w:line="89"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We are a development stage enterprise and have incurred significant losses since our inception in 1991. As of June 30, 2008, we have incurred a cumulative net loss of $1.2 billion. To date, we have not generated any product revenues and have funded our operations primarily through the sale of equity securities.</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expect to record sales of any product prior to regulatory approval and commercialization of our Technosphere Insulin System. We currently do not have the required approvals to market any of our product candidates, and we may not receive such approvals. We may not be profitable even if we succeed in commercializing any of our product candidates. We expect to make substantial and increasing expenditures and to incur additional operating losses for at least the next several years as we:</w:t>
      </w:r>
    </w:p>
    <w:p>
      <w:pPr>
        <w:spacing w:after="0" w:line="79"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of our Technosphere Insulin System for the treatment of diabetes;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expand our manufacturing operations for our Technosphere Insulin System to meet our currently anticipated commercial production needs;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expand our other research, discovery and development programs;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expand our proprietary Technosphere platform technology and develop additional applications for the pulmonary delivery of other drugs; and</w:t>
      </w:r>
    </w:p>
    <w:p>
      <w:pPr>
        <w:spacing w:after="0" w:line="142" w:lineRule="exact"/>
        <w:rPr>
          <w:rFonts w:ascii="Arial" w:cs="Arial" w:eastAsia="Arial" w:hAnsi="Arial"/>
          <w:sz w:val="17"/>
          <w:szCs w:val="17"/>
          <w:b w:val="1"/>
          <w:bCs w:val="1"/>
          <w:color w:val="auto"/>
        </w:rPr>
      </w:pPr>
    </w:p>
    <w:p>
      <w:pPr>
        <w:ind w:left="660" w:right="3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enter into sales and marketing collaborations with other companies, if available on commercially reasonable terms, or develop these capabilities ourselves.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July 14, 2008, we held a routine meeting with the FDA to discuss the status of pre-clinical programs, clinical trials, and manufacturing capability as well as the materials that will be submitted as part of the NDA for our Technosphere Insulin System. The FDA responded to our questions and provided guidance for our remaining development efforts. None of the guidance that we received from the FDA at this pre-NDA meeting departed significantly from our existing development plans, leading us to believe that we remain on schedule to submit an NDA for the Technosphere Insulin System by early 2009 or sooner.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research and development expenses consist mainly of costs associated with the clinical trials of our product candidates which have not yet received regulatory approval for marketing and for which no alternative future use has been identified. This includes the salaries, benefits and stock-based compensation of research and development personnel,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or accrued from the State of Connecticut pursuant to a program under which we can exchange qualified research and development income tax credits for cash. Otherwise, we expense research and development costs as we incur them.</w:t>
      </w:r>
    </w:p>
    <w:p>
      <w:pPr>
        <w:spacing w:after="0" w:line="57"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w:t>
      </w:r>
    </w:p>
    <w:p>
      <w:pPr>
        <w:spacing w:after="0" w:line="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Clinical development timelines, likelihood of success and total costs vary widely. We are focused primarily on advancing the Technosphere Insulin System through Phase 3 clinical trials and regulatory filings. Based on the results of preclinical studies, we are developing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begin.</w:t>
      </w:r>
    </w:p>
    <w:p>
      <w:pPr>
        <w:spacing w:after="0" w:line="8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this time, due to the risks inherent in the clinical trial process and given the early stage of development of our product candidates other than the Technosphere Insulin System, we are unable to estimate with any certainty the costs we will incur in the continued development of our product candidates for commercialization. The costs required to complete the development of our Technosphere Insulin System will be largely dependent on the scope of our clinical trials, the cost and efficiency of our manufacturing process and discussions with the FDA on its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our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2008 and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the six months ended June 30, 2008 and 2007, we recognized $20,000 and $10,000, respectively, in revenue under a license agreement. We did not recognize any revenue in the three months ended June 30, 2008 and 2007. We do not anticipate sales of any product prior to regulatory approval and commercialization of our Technosphere Insulin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three and six months ended June 30, 2008 and 2007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10"/>
          </w:tcPr>
          <w:p>
            <w:pPr>
              <w:jc w:val="right"/>
              <w:ind w:right="12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1"/>
              </w:rPr>
              <w:t>% Change</w:t>
            </w:r>
          </w:p>
        </w:tc>
        <w:tc>
          <w:tcPr>
            <w:tcW w:w="3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33,874</w:t>
            </w:r>
          </w:p>
        </w:tc>
        <w:tc>
          <w:tcPr>
            <w:tcW w:w="6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32,027</w:t>
            </w: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1,847</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Manufacturing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20,875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700"/>
              <w:spacing w:after="0"/>
              <w:rPr>
                <w:sz w:val="20"/>
                <w:szCs w:val="20"/>
                <w:color w:val="auto"/>
              </w:rPr>
            </w:pPr>
            <w:r>
              <w:rPr>
                <w:rFonts w:ascii="Arial" w:cs="Arial" w:eastAsia="Arial" w:hAnsi="Arial"/>
                <w:sz w:val="18"/>
                <w:szCs w:val="18"/>
                <w:color w:val="auto"/>
              </w:rPr>
              <w:t>18,448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2,427</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9,745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9,096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649</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5"/>
          </w:tcPr>
          <w:p>
            <w:pPr>
              <w:jc w:val="right"/>
              <w:ind w:right="508"/>
              <w:spacing w:after="0"/>
              <w:rPr>
                <w:sz w:val="20"/>
                <w:szCs w:val="20"/>
                <w:color w:val="auto"/>
              </w:rPr>
            </w:pPr>
            <w:r>
              <w:rPr>
                <w:rFonts w:ascii="Arial" w:cs="Arial" w:eastAsia="Arial" w:hAnsi="Arial"/>
                <w:sz w:val="18"/>
                <w:szCs w:val="18"/>
                <w:color w:val="auto"/>
              </w:rPr>
              <w:t>(611)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64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(236)</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67,574</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61,480</w:t>
            </w:r>
          </w:p>
        </w:tc>
        <w:tc>
          <w:tcPr>
            <w:tcW w:w="70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6,094</w:t>
            </w:r>
          </w:p>
        </w:tc>
        <w:tc>
          <w:tcPr>
            <w:tcW w:w="7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7"/>
          </w:tcPr>
          <w:p>
            <w:pPr>
              <w:jc w:val="right"/>
              <w:ind w:right="5"/>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85"/>
              </w:rPr>
              <w:t>Change</w:t>
            </w:r>
          </w:p>
        </w:tc>
        <w:tc>
          <w:tcPr>
            <w:tcW w:w="760" w:type="dxa"/>
            <w:vAlign w:val="bottom"/>
            <w:vMerge w:val="restart"/>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 Change</w:t>
            </w:r>
          </w:p>
        </w:tc>
        <w:tc>
          <w:tcPr>
            <w:tcW w:w="3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Borders>
              <w:bottom w:val="single" w:sz="8" w:color="auto"/>
            </w:tcBorders>
            <w:gridSpan w:val="2"/>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61,164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64,028</w:t>
            </w:r>
          </w:p>
        </w:tc>
        <w:tc>
          <w:tcPr>
            <w:tcW w:w="7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(2,864)</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Manufacturing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41,685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40,062</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1,623</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17,446</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(74)</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(1,096)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70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(346)</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7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vMerge w:val="continue"/>
          </w:tcPr>
          <w:p>
            <w:pPr>
              <w:spacing w:after="0"/>
              <w:rPr>
                <w:sz w:val="19"/>
                <w:szCs w:val="19"/>
                <w:color w:val="auto"/>
              </w:rPr>
            </w:pP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126,019</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125,268</w:t>
            </w:r>
          </w:p>
        </w:tc>
        <w:tc>
          <w:tcPr>
            <w:tcW w:w="6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751</w:t>
            </w:r>
          </w:p>
        </w:tc>
        <w:tc>
          <w:tcPr>
            <w:tcW w:w="760" w:type="dxa"/>
            <w:vAlign w:val="bottom"/>
            <w:vMerge w:val="continue"/>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increase in research and development expenses for the three months ended June 30, 2008 as compared to the same period in the prior year was primarily due to increases in manufacturing costs, clinical trial costs, and stock-based compensation expense.</w:t>
      </w:r>
    </w:p>
    <w:p>
      <w:pPr>
        <w:spacing w:after="0" w:line="6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increase in research and development expenses for the six months ended June 30, 2008 as compared to the same period in the prior year was primarily due to increases in stock-based compensation expense and manufacturing costs, partially offset by lower clinical trial costs.</w:t>
      </w:r>
    </w:p>
    <w:p>
      <w:pPr>
        <w:spacing w:after="0" w:line="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anticipate that our research and development expenses will increase slightly in 2008 as we complete our pivotal Technosphere Insulin trials, continue preparation for commercial scale manufacturing of Technosphere Insulin, expand our Technosphere platform technology, and continue to pursue cancer therapies. Specifically, we anticipate increased expenses related to the expansion, qualification and validation of our commercial manufacturing processes and facilities.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three and six months ended June 30, 2008 and 2007 (in thousands):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jc w:val="center"/>
        <w:ind w:left="2000"/>
        <w:spacing w:after="0"/>
        <w:rPr>
          <w:sz w:val="20"/>
          <w:szCs w:val="20"/>
          <w:color w:val="auto"/>
        </w:rPr>
      </w:pPr>
      <w:r>
        <w:rPr>
          <w:rFonts w:ascii="Arial" w:cs="Arial" w:eastAsia="Arial" w:hAnsi="Arial"/>
          <w:sz w:val="14"/>
          <w:szCs w:val="14"/>
          <w:b w:val="1"/>
          <w:bCs w:val="1"/>
          <w:color w:val="auto"/>
        </w:rPr>
        <w:t>Three months ended</w:t>
      </w:r>
    </w:p>
    <w:p>
      <w:pPr>
        <w:jc w:val="center"/>
        <w:ind w:left="20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2008</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73"/>
              <w:spacing w:after="0" w:line="142" w:lineRule="exact"/>
              <w:rPr>
                <w:sz w:val="20"/>
                <w:szCs w:val="20"/>
                <w:color w:val="auto"/>
              </w:rPr>
            </w:pPr>
            <w:r>
              <w:rPr>
                <w:rFonts w:ascii="Arial" w:cs="Arial" w:eastAsia="Arial" w:hAnsi="Arial"/>
                <w:sz w:val="14"/>
                <w:szCs w:val="14"/>
                <w:b w:val="1"/>
                <w:bCs w:val="1"/>
                <w:color w:val="auto"/>
                <w:w w:val="91"/>
              </w:rPr>
              <w:t>$ Change</w:t>
            </w:r>
          </w:p>
        </w:tc>
        <w:tc>
          <w:tcPr>
            <w:tcW w:w="780" w:type="dxa"/>
            <w:vAlign w:val="bottom"/>
            <w:gridSpan w:val="2"/>
          </w:tcPr>
          <w:p>
            <w:pPr>
              <w:spacing w:after="0"/>
              <w:rPr>
                <w:sz w:val="12"/>
                <w:szCs w:val="12"/>
                <w:color w:val="auto"/>
              </w:rPr>
            </w:pPr>
          </w:p>
        </w:tc>
        <w:tc>
          <w:tcPr>
            <w:tcW w:w="74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10,347</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11,943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(1,596)</w:t>
            </w:r>
          </w:p>
        </w:tc>
        <w:tc>
          <w:tcPr>
            <w:tcW w:w="7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1,970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973</w:t>
            </w:r>
          </w:p>
        </w:tc>
        <w:tc>
          <w:tcPr>
            <w:tcW w:w="70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13,913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c>
          <w:tcPr>
            <w:tcW w:w="7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9"/>
          </w:tcPr>
          <w:p>
            <w:pPr>
              <w:ind w:left="5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9"/>
              </w:rPr>
              <w:t>June 30,</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1"/>
              </w:rPr>
              <w:t>$ Change</w:t>
            </w:r>
          </w:p>
        </w:tc>
        <w:tc>
          <w:tcPr>
            <w:tcW w:w="70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3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23,757</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23,142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615</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5,173</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4,321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852</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28,930</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27,463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1,467</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decrease in general and administrative expenses for the three months ended June 30, 2008 as compared to the same period in the prior year was primarily due to lower professional service fees, partially offset by increases in stock-based compensation expense and salary related expenses.</w:t>
      </w:r>
    </w:p>
    <w:p>
      <w:pPr>
        <w:spacing w:after="0" w:line="3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increase in general and administrative expenses for the six months ended June 30, 2008 as compared to the same period in the prior year was primarily due to increases in salary related expenses and stock-based compensation expense, partially offset by lower professional service fees.</w:t>
      </w:r>
    </w:p>
    <w:p>
      <w:pPr>
        <w:spacing w:after="0" w:line="3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expect general and administrative expenses to increase in 2008 as a result of increased salary and stock-based compensation related expenses and professional service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Interest income for the three and six months ended June 30, 2008 decreased $3.0 million and $5.4 million, respectively, as compared to the same periods in the prior year primarily due to lower market interest rates and a lower investment balance.</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expense for the three and six months ended June 30, 2008 decreased $0.8 million and $1.6 million, respectively, as compared to the same periods in the prior year primarily due to an increase in capitalized interest related to the Danbury, Connecticut plant expansion.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We have funded our operations primarily through the sale of equity securities, including convertible debt securities. In October 2007, we issued and sold a total of 27,014,686 shares of our common stock. Of this total, 15,940,489 shares were sold to our principal stockholder at a price per share of $9.41 and 11,074,197 shares were sold to other investors at a price per share of $9.03. The resulting aggregate net proceeds were approximately $249.8 million after expenses. In December 2006, we issued and sold 23,000,000 shares of our common stock at a price of $17.42 per share in an underwritten public offering. The resulting aggregate net proceeds to us from this common stock offering were approximately $384.7 million after expenses. In December 2006, we also sold $115.0 million aggregate principal amount of 3.75% Senior Convertible Notes due 2013. The resulting aggregate net proceeds to us from this note offering were approximately $111.3 million after expenses.</w:t>
      </w:r>
    </w:p>
    <w:p>
      <w:pPr>
        <w:spacing w:after="0" w:line="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August 2006, we entered into a $150.0 million loan arrangement with our principal stockholder, which was amended on August 1, 2007 and replaced with a new loan arrangement on October 2, 2007. Under the new loan arrangement, we can borrow up to a total of $350.0 million before January 1, 2010. From April 1, 2008 until September 30, 2008, we can borrow up to $150.0 million in one or more advances, and from March 1, 2009 until December 31, 2009, we can borrow the remaining $200.0 million plus any amount not previously borrowed in one or more advances. We may not borrow more than one advance in any 12-month period, and each advance must be not less than $50.0 million. Interest will accrue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will be payable quarterly in arrears. Principal repayment is due on December 31, 2011. At any time after January 1, 2010, our principal stockholder can require us to prepay up to $200.0 million in advances that have been outstanding for at least 12 months. If our principal stockholder exercises this right, we will have until the earlier of 180 days after our principal stockholder provides written notice or December 31, 2011 to prepay such advances. In the event of a default, all unpaid principal and interest either becomes immediately due and payable or may be accelerated at our principal stockholder’s option, and the interest rate will increase to the one-year LIBOR rate calculated on the date of the initial advance or in effect on the date of default, whichever is greater, plus 5% per annum. Any borrowings under the loan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arrangement will be unsecured. The loan arrangement contains no financial covenants. There are no warrants associated with the loan arrangement, nor are advances convertible into our common stock.</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six months ended June 30, 2008, we used $140.0 million of cash for our operations compared to using $127.5 million for our operations in the six months ended June 30, 2007. We had a net loss of $151.2 million for the six months ended June 30, 2008, of which $15.9 million consisted of non-cash charges such as depreciation and amortization, and stock-based compensation. We expect our negative operating cash flow to continue at least until we obtain regulatory approval and achieve commercialization of our Technosphere Insulin System.</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spent $48.2 million of cash for investing activities during the six months ended June 30, 2008, compared to generating $23.2 million for the six months ended June 30, 2007. For the six months ended June 30, 2008, $48.3 million was used to purchase machinery and equipment to expand our manufacturing operations and our quality systems that support clinical trials for Technosphere Insulin System. We expect to make significant purchases of equipment in the foreseeable future.</w:t>
      </w:r>
    </w:p>
    <w:p>
      <w:pPr>
        <w:spacing w:after="0" w:line="7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financing activities provided $0.4 million of cash for the six months ended June 30, 2008 compared to generating $1.1 million for the same period in 2007. Cash from financing activities in the first six months of 2008 and 2007, respectively, was primarily from purchases under the Company’s 2004 Employee Stock Purchase Plan and the exercise of stock options, respectively.</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June 30, 2008, we had $180.5 million in cash and cash equivalents. Although we believe our existing cash resources, including the $350.0 million loan arrangement with our principal stockholder, will be sufficient to fund our anticipated cash requirements through the fourth quarter of 2009, we will require significant additional financing in the future to fund our operations. Accordingly, we expect that we will need to raise additional capital, either through the sale of equity and/or debt securities, a strategic business collaboration with a pharmaceutical or biotechnology company or the establishment of other funding facilities, in order to continue the development and commercialization of our Technosphere Insulin System and other product candidates and to support our other ongoing activities.</w:t>
      </w:r>
    </w:p>
    <w:p>
      <w:pPr>
        <w:spacing w:after="0" w:line="8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intend to use our capital resources to continue the development of our Technosphere Insulin System and to develop additional applications for our proprietary Technosphere platform technology. In addition, portions of our capital resources will be devoted to expanding our other product development programs for the treatment of different types of cancers. We are expending a portion of our capital to scale up our manufacturing capabilities in our Danbury facilities. We also intend to use our capital resources for general corporate purposes, which may include in-licensing or acquiring additional technologies.</w:t>
      </w:r>
    </w:p>
    <w:p>
      <w:pPr>
        <w:spacing w:after="0" w:line="4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have held extensive discussions with a number of pharmaceutical companies concerning a potential strategic business collaboration for our Technosphere Insulin System. To date, we have not reached agreement with any of these companies on a collaboration. On April 10, 2008, we announced our decision to suspend partnership discussions as we believed that, given the existing market conditions, we would be unable to achieve an appropriate valuation for Technosphere Insulin until Phase 3 data are available that confirm our belief in the superior safety and efficacy profile of Technosphere Insulin. If and when we re-engage in such discussions, we believe that we will have to expend significant additional time and effort before we could reach agreement, and we cannot predict when, if ever, we could conclude such an agreement with a partner. There can be no assurance that any such collaboration will be available to us on a timely basis or on acceptable terms, if at all. If we are not able to enter into a collaboration on terms that are favorable to us, we may be unable to undertake and fund product development, clinical trials, manufacturing and marketing activities at our own expense. Accordingly, we may have to substantially reduce our development efforts, which would delay or otherwise impede the commercialization of our Technosphere Insulin System.</w:t>
      </w:r>
    </w:p>
    <w:p>
      <w:pPr>
        <w:spacing w:after="0" w:line="5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or entering a business collaboration, we may be required to reduce expenses through the delay, reduction or curtailment of our projects, including our Technosphere Insulin System development activities, or further reduction of costs for facilities and administration.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engage in any off-balance sheet arrangements and none existed as of June 30,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contractual obligations disclosed in Item 7 of our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December 2007, the FASB ratified the EITF consensus on EITF Issue No. 07-1, </w:t>
      </w:r>
      <w:r>
        <w:rPr>
          <w:rFonts w:ascii="Arial" w:cs="Arial" w:eastAsia="Arial" w:hAnsi="Arial"/>
          <w:sz w:val="17"/>
          <w:szCs w:val="17"/>
          <w:i w:val="1"/>
          <w:iCs w:val="1"/>
          <w:color w:val="auto"/>
        </w:rPr>
        <w:t>Accounting for Collaborative Arrangements,</w:t>
      </w:r>
      <w:r>
        <w:rPr>
          <w:rFonts w:ascii="Arial" w:cs="Arial" w:eastAsia="Arial" w:hAnsi="Arial"/>
          <w:sz w:val="17"/>
          <w:szCs w:val="17"/>
          <w:color w:val="auto"/>
        </w:rPr>
        <w:t xml:space="preserve"> that discusses how parties to a collaborative arrangement (which does not establish a legal entity within such arrangement) should account for various activities. The consensus indicates that costs incurred and revenues generated from transactions with third parties (i.e. parties outside of the collaborative arrangement) should be reported by the collaborators on the respective line items in their income statements pursuant to EITF Issue No. 99-19, </w:t>
      </w:r>
      <w:r>
        <w:rPr>
          <w:rFonts w:ascii="Arial" w:cs="Arial" w:eastAsia="Arial" w:hAnsi="Arial"/>
          <w:sz w:val="17"/>
          <w:szCs w:val="17"/>
          <w:i w:val="1"/>
          <w:iCs w:val="1"/>
          <w:color w:val="auto"/>
        </w:rPr>
        <w:t>Reporting Revenue Gross as a Principal Versus Net as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 Agent. </w:t>
      </w:r>
      <w:r>
        <w:rPr>
          <w:rFonts w:ascii="Arial" w:cs="Arial" w:eastAsia="Arial" w:hAnsi="Arial"/>
          <w:sz w:val="17"/>
          <w:szCs w:val="17"/>
          <w:color w:val="auto"/>
        </w:rPr>
        <w:t>Additionally, the consensus provides that income statement characterization of payments between the participants in a collaborative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based upon existing authoritative pronouncements; analogy to such pronouncements if not within their scope; or a reasonable, rational, and consistently applied accounting policy election. EITF Issue No. 07-1 is effective beginning January 1, 2009 and is to be applied retrospectively to all periods presented for collaborative arrangements existing as of the date of adoption. We are evaluating the impact, if any, the adoption of this consensus will have on our results of operations, financial position or cash flows.</w:t>
      </w:r>
    </w:p>
    <w:p>
      <w:pPr>
        <w:spacing w:after="0" w:line="7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December 2007, the FASB issued SFAS No. 141(R),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and SFAS No. 160, </w:t>
      </w:r>
      <w:r>
        <w:rPr>
          <w:rFonts w:ascii="Arial" w:cs="Arial" w:eastAsia="Arial" w:hAnsi="Arial"/>
          <w:sz w:val="17"/>
          <w:szCs w:val="17"/>
          <w:i w:val="1"/>
          <w:iCs w:val="1"/>
          <w:color w:val="auto"/>
        </w:rPr>
        <w:t>“Accounting and Reporting of Noncontrolling Interests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Consolidated Financial Statements —— an amendment of ARB No. 51” </w:t>
      </w:r>
      <w:r>
        <w:rPr>
          <w:rFonts w:ascii="Arial" w:cs="Arial" w:eastAsia="Arial" w:hAnsi="Arial"/>
          <w:sz w:val="17"/>
          <w:szCs w:val="17"/>
          <w:color w:val="auto"/>
        </w:rPr>
        <w:t>(“SFAS No. 160”). These standards will significantly change the accounting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for business combination transactions and noncontrolling (minority) interests in consolidated financial statements, including capitalizing at the acquisition date the fair value of acquired IPR&amp;D, and remeasuring and writing down the assets, if necessary, in subsequent periods during their development. These new standards will be applied prospectively for business combinations that occur on or after January 1, 2009, except that presentation and disclosure requirements of SFAS No. 160 regarding noncontrolling interests shall be applied retrospectively.</w:t>
      </w:r>
    </w:p>
    <w:p>
      <w:pPr>
        <w:spacing w:after="0" w:line="7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September 2006, the FASB issued SFAS No. 157</w:t>
      </w:r>
      <w:r>
        <w:rPr>
          <w:rFonts w:ascii="Arial" w:cs="Arial" w:eastAsia="Arial" w:hAnsi="Arial"/>
          <w:sz w:val="16"/>
          <w:szCs w:val="16"/>
          <w:i w:val="1"/>
          <w:iCs w:val="1"/>
          <w:color w:val="auto"/>
        </w:rPr>
        <w:t>, Fair Value Measurements</w:t>
      </w:r>
      <w:r>
        <w:rPr>
          <w:rFonts w:ascii="Arial" w:cs="Arial" w:eastAsia="Arial" w:hAnsi="Arial"/>
          <w:sz w:val="16"/>
          <w:szCs w:val="16"/>
          <w:color w:val="auto"/>
        </w:rPr>
        <w:t xml:space="preserve"> (“SFAS No. 157”), which defines fair value, establishes a framework for consistently measuring fair value for accounting purposes, and expands disclosures about fair value measurements. SFAS No. 157 is effective for us beginning January 1, 2008, and the provisions of SFAS No. 157 will be applied prospectively as of that date. In February 2008, FASB Staff Position (“FSP”) 157-2 was issued, which delays the effective date of SFAS No. 157 to fiscal years beginning after November 15, 2008 and interim periods with those fiscal years for all nonfinancial assets and liabilities, except those that are recognized or disclosed at fair value in the financial statements on a recurring basis (at least annually). We have already adopted this Statement except as it applies to nonfinancial assets and liabilities as noted in FSP 157-2. The partial adoption of SFAS No. 157 did not have a material impact on its results of operations, financial position or cash flows. We are evaluating the impact, if any, that the adoption of SFAS No. 157, as it relates to nonfinancial assets and liabilities, will have on our results of operations, financial position or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not used derivative financial instruments in the past to hedge market risk. We are exposed to market risk related to changes in interest rates impacting our cash investment portfolio as well as the interest rate on our credit facility. The interest rate on our credit facility is a fixed rate equal to the one-year LIBOR rate as reported by the Wall Street Journal on the date of such advance plus 3% per annum. If we were to draw the available amount on our $350.0 million credit facility and interest rates were to increase from levels at June 30, 2008, we could experience a higher level of interest expense than assumed in our current operating plan.</w:t>
      </w:r>
    </w:p>
    <w:p>
      <w:pPr>
        <w:spacing w:after="0" w:line="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and investment-grade corporate, government and municipal debt. None of these investments is entered into for trading purposes.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cash is deposited in and invested through highly rated financial institutions in North America. Other than cash and cash equivalents, we do not have any short-term investments at June 30, 2008. If market interest rates were to increase immediately and uniformly by ten percent from levels at June 30, 2008, we estimate that the fair value of our investment portfolio would decline by an immaterial amount.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(the “Securities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Our chief executive officer and chief financial officer performed an evaluation under the supervision and with the participation of our management, of our disclosure controls and procedures (as defined in Rule 13a-15(b) of the Securities Exchange Act) as of June 30, 2008. Based on that evaluation, our chief executive officer and chief financial officer concluded that our disclosure controls and procedures were effective at the reasonable assurance level.</w:t>
      </w:r>
    </w:p>
    <w:p>
      <w:pPr>
        <w:spacing w:after="0" w:line="3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June 30, 2008 that has materially affected, or is reasonably likely to materially affect, our internal control over financial reporting.</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become profitable.*</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are a development stage company with no commercial products. All of our product candidates are still being developed, and all but our Technosphere Insulin System are still in early stages of development. Our product candidates will require significant additional development, clinical trials, regulatory clearances and additional investment before they can be commercialized. We anticipate that our Technosphere Insulin System will not be commercially available for at least two years, if at all.</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never been profitable and, as of June 30, 2008, we had an accumulated deficit of $1.2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market our product candidates. This accumulated deficit may increase significantly as we expand development and clinical trial efforts.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profitability depends upon obtaining regulatory approvals for and successfully commercializing our Technosphere Insulin System,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raise additional capital, our financial condition and business would suffer.*</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It is costly to develop therapeutic product candidates and conduct clinical trials for these product candidates. Although we are currently focusing on our Technosphere Insulin System as our lead product candidate, we have begun to conduct clinical trials for additional product candidates. Our existing capital resources will not be sufficient to support the expense of completing development of our Technosphere Insulin System or any of our other product candidates.</w:t>
      </w:r>
    </w:p>
    <w:p>
      <w:pPr>
        <w:spacing w:after="0" w:line="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Based upon our current expectations, we believe that our existing capital resources, including the loan arrangement with our principal stockholder, will enable us to continue planned operations through the fourth quarter of 2009. However, we cannot assure you that our plans will not change or that changed circumstances will not result in the depletion of our capital resources more rapidly than we currently anticipate. Accordingly, we plan to raise additional capital, either through the sale of equity and/or debt securities, a strategic business collaboration or the establishment of other funding facilities, in order to continue the development and commercialization of our Technosphere Insulin System and other product candidates and to support our other ongoing activities. The amount of additional funds we need will depend on a number of factors, including:</w:t>
      </w:r>
    </w:p>
    <w:p>
      <w:pPr>
        <w:spacing w:after="0" w:line="70" w:lineRule="exact"/>
        <w:rPr>
          <w:sz w:val="20"/>
          <w:szCs w:val="20"/>
          <w:color w:val="auto"/>
        </w:rPr>
      </w:pPr>
    </w:p>
    <w:p>
      <w:pPr>
        <w:ind w:left="660" w:right="5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our Technosphere Insulin System or our other product candidates;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discontinuing projects and technologies or decommissioning existing facilities, if we undertake those activities; and</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performing additional clinical studies to demonstrate safety and efficacy if our current studies do not deliver results sufficient for FDA approval and commercialization.</w:t>
      </w:r>
    </w:p>
    <w:p>
      <w:pPr>
        <w:spacing w:after="0" w:line="6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have raised capital in the past primarily through the sale of equity securities and most currently through the sale of equity and debt securities. We may in the future pursue the sale of additional equity and/or debt securities, or the establishment of other funding facilities. Issuances of additional debt or equity securities or the conversion of any of our currently outstanding convertible debt securities into shares of our common stock could impact your rights as a holder of our common stock and may dilute your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may seek to raise additional capital by pursuing opportunities for the licensing or sale of certain intellectual property and other assets, including our Technosphere technology platform.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8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licensing arrangements and/or asset sales on a timely basis, we may be required to reduce expenses through the delay, reduction or curtailment of our projects, including our Technosphere Insulin System development activities, or further reduction of costs for facilities and administration.</w:t>
      </w:r>
    </w:p>
    <w:p>
      <w:pPr>
        <w:spacing w:after="0" w:line="73" w:lineRule="exact"/>
        <w:rPr>
          <w:sz w:val="20"/>
          <w:szCs w:val="20"/>
          <w:color w:val="auto"/>
        </w:rPr>
      </w:pPr>
    </w:p>
    <w:p>
      <w:pPr>
        <w:ind w:left="240" w:right="80"/>
        <w:spacing w:after="0" w:line="308" w:lineRule="auto"/>
        <w:rPr>
          <w:sz w:val="20"/>
          <w:szCs w:val="20"/>
          <w:color w:val="auto"/>
        </w:rPr>
      </w:pPr>
      <w:r>
        <w:rPr>
          <w:rFonts w:ascii="Arial" w:cs="Arial" w:eastAsia="Arial" w:hAnsi="Arial"/>
          <w:sz w:val="17"/>
          <w:szCs w:val="17"/>
          <w:b w:val="1"/>
          <w:bCs w:val="1"/>
          <w:i w:val="1"/>
          <w:iCs w:val="1"/>
          <w:color w:val="auto"/>
        </w:rPr>
        <w:t>We depend heavily on the successful development and commercialization of our lead product candidate, the Technosphere Insulin System, which is in clinical development, and our other product candidates, which are in early clinical or preclinical development.</w:t>
      </w:r>
    </w:p>
    <w:p>
      <w:pPr>
        <w:spacing w:after="0" w:line="3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To date, we have not completed the development of any product candidates through to commercialization. Our Technosphere Insulin System is currently undergoing clinical trials, while our other product candidates are generally in early clinical or preclinical development. We anticipate that in the near term, our ability to generate revenues will depend solely on the successful development and commercialization of our Technosphere Insulin System.</w:t>
      </w:r>
    </w:p>
    <w:p>
      <w:pPr>
        <w:spacing w:after="0" w:line="3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expended significant time, money and effort in the development of our lead product candidate, the Technosphere Insulin System, which has not yet received regulatory approval and which may never be commercialized. Before we can market and sell our Technosphere Insulin System, we will need to complete Phase 3 clinical trials and demonstrate in these trials that our Technosphere Insulin System is safe and effective. Our current development plans call for the completion of our pivotal Phase 3 clinical trials of our Technosphere Insulin System in the third quarter of 2008. We must also receive the necessary approvals from the FDA and similar foreign regulatory agencies before this product candidate can be marketed in the United States or elsewhere. Even if we were to receive regulatory approval, we ultimately may be unable to gain market acceptance of our Technosphere Insulin System for a variety of reasons, including the treatment and dosage regimen, potential adverse effects, the availability of alternative treatments and cost effectiveness. If we fail to commercialize our Technosphere Insulin System, our business, financial condition and results of operations will be materially and adversely affected.</w:t>
      </w:r>
    </w:p>
    <w:p>
      <w:pPr>
        <w:spacing w:after="0" w:line="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other indications.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significant portion of the research that we are conducting involves new and unproven compounds and technologies, including our Technosphere Insulin System,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our Technosphere Insulin System or develop or expand our other product candidates, or are significantly delayed in doing so, our business and results of operations will be harmed and the value of our stock could decline.</w:t>
      </w:r>
    </w:p>
    <w:p>
      <w:pPr>
        <w:spacing w:after="0" w:line="59"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announce and expect, our business would be harmed and the market price of our common stock could decline.</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compared to our estimates, in many cases for reasons beyond our control, depending on numerous factors, including: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6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our Technosphere Insulin System;</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Technosphere Insulin System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64"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face intense competition in the development and commercialization of our Technosphere Insulin System. In January 2006, the FDA and the European Medicines Evaluation Agency approved Exubera</w:t>
      </w:r>
      <w:r>
        <w:rPr>
          <w:rFonts w:ascii="Arial" w:cs="Arial" w:eastAsia="Arial" w:hAnsi="Arial"/>
          <w:sz w:val="13"/>
          <w:szCs w:val="13"/>
          <w:color w:val="auto"/>
        </w:rPr>
        <w:t>®</w:t>
      </w:r>
      <w:r>
        <w:rPr>
          <w:rFonts w:ascii="Arial" w:cs="Arial" w:eastAsia="Arial" w:hAnsi="Arial"/>
          <w:sz w:val="16"/>
          <w:szCs w:val="16"/>
          <w:color w:val="auto"/>
        </w:rPr>
        <w:t>, developed by Pfizer, Inc. in collaboration with Nektar Therapeutics, for the treatment of adults with type 1 and type 2 diabetes. Exubera</w:t>
      </w:r>
      <w:r>
        <w:rPr>
          <w:rFonts w:ascii="Arial" w:cs="Arial" w:eastAsia="Arial" w:hAnsi="Arial"/>
          <w:sz w:val="13"/>
          <w:szCs w:val="13"/>
          <w:color w:val="auto"/>
        </w:rPr>
        <w:t>®</w:t>
      </w:r>
      <w:r>
        <w:rPr>
          <w:rFonts w:ascii="Arial" w:cs="Arial" w:eastAsia="Arial" w:hAnsi="Arial"/>
          <w:sz w:val="16"/>
          <w:szCs w:val="16"/>
          <w:color w:val="auto"/>
        </w:rPr>
        <w:t xml:space="preserve"> was slow to gain market acceptance and, in October 2007, Pfizer announced that it was returning rights to the product to Nektar. In April 2008, Pfizer issued a press release stating it updated the U.S. product labeling for Exubera</w:t>
      </w:r>
      <w:r>
        <w:rPr>
          <w:rFonts w:ascii="Arial" w:cs="Arial" w:eastAsia="Arial" w:hAnsi="Arial"/>
          <w:sz w:val="13"/>
          <w:szCs w:val="13"/>
          <w:color w:val="auto"/>
        </w:rPr>
        <w:t>®</w:t>
      </w:r>
      <w:r>
        <w:rPr>
          <w:rFonts w:ascii="Arial" w:cs="Arial" w:eastAsia="Arial" w:hAnsi="Arial"/>
          <w:sz w:val="16"/>
          <w:szCs w:val="16"/>
          <w:color w:val="auto"/>
        </w:rPr>
        <w:t xml:space="preserve"> to include a warning with safety information about lung cancer. Subsequently, Nektar released a statement that it has stopped all spending and partnership talks for Exubera</w:t>
      </w:r>
      <w:r>
        <w:rPr>
          <w:rFonts w:ascii="Arial" w:cs="Arial" w:eastAsia="Arial" w:hAnsi="Arial"/>
          <w:sz w:val="13"/>
          <w:szCs w:val="13"/>
          <w:color w:val="auto"/>
        </w:rPr>
        <w:t>®</w:t>
      </w:r>
      <w:r>
        <w:rPr>
          <w:rFonts w:ascii="Arial" w:cs="Arial" w:eastAsia="Arial" w:hAnsi="Arial"/>
          <w:sz w:val="16"/>
          <w:szCs w:val="16"/>
          <w:color w:val="auto"/>
        </w:rPr>
        <w:t>.</w:t>
      </w:r>
    </w:p>
    <w:p>
      <w:pPr>
        <w:spacing w:after="0" w:line="5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the first quarter of 2008, Novo Nordisk and Eli Lilly ceased development of their respective inhaled insulin programs. Lilly cited that their decision resulted from increasing uncertainties in the regulatory environment and after a thorough evaluation of the evolving commercial and clinical potential of its product compared to existing medical therapies. Novo Nordisk reached the conclusion that AERx</w:t>
      </w:r>
      <w:r>
        <w:rPr>
          <w:rFonts w:ascii="Arial" w:cs="Arial" w:eastAsia="Arial" w:hAnsi="Arial"/>
          <w:sz w:val="14"/>
          <w:szCs w:val="14"/>
          <w:color w:val="auto"/>
        </w:rPr>
        <w:t>®</w:t>
      </w:r>
      <w:r>
        <w:rPr>
          <w:rFonts w:ascii="Arial" w:cs="Arial" w:eastAsia="Arial" w:hAnsi="Arial"/>
          <w:sz w:val="17"/>
          <w:szCs w:val="17"/>
          <w:color w:val="auto"/>
        </w:rPr>
        <w:t>, their inhaled insulin candidate, did not have adequate commercial potential. Notwithstanding the termination of the AERx</w:t>
      </w:r>
      <w:r>
        <w:rPr>
          <w:rFonts w:ascii="Arial" w:cs="Arial" w:eastAsia="Arial" w:hAnsi="Arial"/>
          <w:sz w:val="14"/>
          <w:szCs w:val="14"/>
          <w:color w:val="auto"/>
        </w:rPr>
        <w:t>®</w:t>
      </w:r>
      <w:r>
        <w:rPr>
          <w:rFonts w:ascii="Arial" w:cs="Arial" w:eastAsia="Arial" w:hAnsi="Arial"/>
          <w:sz w:val="17"/>
          <w:szCs w:val="17"/>
          <w:color w:val="auto"/>
        </w:rPr>
        <w:t xml:space="preserve"> program, Novo Nordisk stated that it intended to increase research and development activities targeted at inhalation systems for long-acting formulations of insulin and GLP-1.</w:t>
      </w:r>
    </w:p>
    <w:p>
      <w:pPr>
        <w:spacing w:after="0" w:line="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Technosphere Insulin. Many of our competitors have existing infrastructure and relationships with managed care organizations and reimbursement authorities which can be used to their advantage.</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our Technosphere Insulin System less competitive, uneconomical or obsolete. Our future success will depend not only on our ability to develop our product candidates but to improve them and to keep pace with emerging industry developments. We cannot assure you that we will be able to do so.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73" w:lineRule="exact"/>
        <w:rPr>
          <w:sz w:val="20"/>
          <w:szCs w:val="20"/>
          <w:color w:val="auto"/>
        </w:rPr>
      </w:pPr>
    </w:p>
    <w:p>
      <w:pPr>
        <w:ind w:left="240" w:right="500"/>
        <w:spacing w:after="0" w:line="277" w:lineRule="auto"/>
        <w:rPr>
          <w:sz w:val="20"/>
          <w:szCs w:val="20"/>
          <w:color w:val="auto"/>
        </w:rPr>
      </w:pPr>
      <w:r>
        <w:rPr>
          <w:rFonts w:ascii="Arial" w:cs="Arial" w:eastAsia="Arial" w:hAnsi="Arial"/>
          <w:sz w:val="18"/>
          <w:szCs w:val="18"/>
          <w:b w:val="1"/>
          <w:bCs w:val="1"/>
          <w:i w:val="1"/>
          <w:iCs w:val="1"/>
          <w:color w:val="auto"/>
        </w:rPr>
        <w:t>If we fail to enter into a strategic collaboration with respect to our Technosphere Insulin System, we may not be able to execute on our business model.*</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held extensive discussions with a number of pharmaceutical companies concerning a potential strategic business collaboration for our Technosphere Insulin System. To date, we have not reached agreement with any of these companies on a collaboration. On April 10, 2008, we announced our decision to suspend partnership discussions as we believed that, given the existing market conditions, we would be unable to achieve an appropriate valuation for Technosphere Insulin until Phase 3 data are available that confirm our belief in the superior safety and efficacy profile of Technosphere Insulin. If and when we re-engage in such discussions, we believe that we will have to expend significant additional time and effort before we could reach agreement, and we cannot predict when, if ever, we could conclude such an agreement with a partner. There can be no assurance that any such collaboration will be available to us on a timely basis or on acceptable terms, if at all. If we are not able to enter into a collaboration on terms that are favorable to us, we may be unable to undertake and fund product development, clinical trials, manufacturing and marketing activities at our own expense. Accordingly, we may have to substantially reduce our development efforts, which would delay or otherwise impede the commercialization of our Technosphere Insulin System.</w:t>
      </w:r>
    </w:p>
    <w:p>
      <w:pPr>
        <w:spacing w:after="0" w:line="5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85" w:lineRule="exact"/>
        <w:rPr>
          <w:sz w:val="20"/>
          <w:szCs w:val="20"/>
          <w:color w:val="auto"/>
        </w:rPr>
      </w:pPr>
    </w:p>
    <w:p>
      <w:pPr>
        <w:ind w:left="240" w:right="260"/>
        <w:spacing w:after="0" w:line="264" w:lineRule="auto"/>
        <w:rPr>
          <w:sz w:val="20"/>
          <w:szCs w:val="20"/>
          <w:color w:val="auto"/>
        </w:rPr>
      </w:pPr>
      <w:r>
        <w:rPr>
          <w:rFonts w:ascii="Arial" w:cs="Arial" w:eastAsia="Arial" w:hAnsi="Arial"/>
          <w:sz w:val="18"/>
          <w:szCs w:val="18"/>
          <w:b w:val="1"/>
          <w:bCs w:val="1"/>
          <w:i w:val="1"/>
          <w:iCs w:val="1"/>
          <w:color w:val="auto"/>
        </w:rPr>
        <w:t>If we enter into collaborative agreements with respect to our Technosphere Insulin System and if our third-party collaborators do not perform satisfactorily or if our collaborations fail, development or commercialization of our Technosphere Insulin System may be delayed and our business could be harmed.</w:t>
      </w:r>
    </w:p>
    <w:p>
      <w:pPr>
        <w:spacing w:after="0" w:line="7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currently rely on clinical research organizations and hospitals to conduct, supervise or monitor some or all aspects of clinical trials involving our Technosphere Insulin System. Further, we may also enter into license agreements, partnerships or other collaborative arrangements to support the financing, development and marketing of our Technosphere Insulin System.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6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If we enter into collaborative arrangements, we will have less control over the timing, planning and other aspects of our clinical trials, and the sale and marketing of our Technosphere Insulin System and our other product candidates. We cannot offer assurances that we will be able to enter into satisfactory arrangements with third parties as contemplated or that any of our existing or future collaborations will be successful.</w:t>
      </w:r>
    </w:p>
    <w:p>
      <w:pPr>
        <w:spacing w:after="0" w:line="57"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Testing of our Technosphere Insulin System or another product candidate may not yield successful results, and even if it does, we may still be unable to commercialize that product candidate.*</w:t>
      </w:r>
    </w:p>
    <w:p>
      <w:pPr>
        <w:spacing w:after="0" w:line="62"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Our research and development programs are designed to test the safety and efficacy of our Technosphere Insulin System and our other product candidates through extensive nonclinical and clinical testing. We may experience numerous unforeseen events during, or as a result of, the testing process that could delay or prevent commercialization of our Technosphere Insulin System or any of our other product candidates, including the following:</w:t>
      </w:r>
    </w:p>
    <w:p>
      <w:pPr>
        <w:spacing w:after="0" w:line="39" w:lineRule="exact"/>
        <w:rPr>
          <w:sz w:val="20"/>
          <w:szCs w:val="20"/>
          <w:color w:val="auto"/>
        </w:rPr>
      </w:pPr>
    </w:p>
    <w:p>
      <w:pPr>
        <w:ind w:left="660" w:right="80" w:hanging="436"/>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safety and efficacy results obtained in our nonclinical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130"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nearing completion of a pivotal Phase 3 safety study of our Technosphere Insulin System to evaluate pulmonary function over a period of two years. Our Technosphere Insulin System is intended for multiple uses per day. Due to the size and timeframe over which existing and planned clinical trials are conducted, the results of clinical trials, including our existing Phase 3 trials, may not be indicative of the effects of the use of our Technosphere Insulin System over longer terms. If use of our Technosphere Insulin System results in adverse health effects or reduced efficacy or both, the FDA or other regulatory agencies may terminate our ability to market and sell our Technosphere Insulin System, may narrow the approved indications for use or otherwise require restrictive product labeling or marketing, or may require further clinical trials, which may be time-consuming and expensive and may not produce favorable results.</w:t>
      </w:r>
    </w:p>
    <w:p>
      <w:pPr>
        <w:spacing w:after="0" w:line="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trials or marketing of our Technosphere Insulin System at any time. Any suspension or termination of our clinical trials or marketing activities may harm our business and results of operations and the market price of our common stock may decline.</w:t>
      </w:r>
    </w:p>
    <w:p>
      <w:pPr>
        <w:spacing w:after="0" w:line="73"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If we are unable to transition successfully from an early-stage development company to a company that commercializes therapeutics, our operations would suffer.*</w:t>
      </w:r>
    </w:p>
    <w:p>
      <w:pPr>
        <w:spacing w:after="0" w:line="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are at a critical juncture in our development, having transitioned from an early-stage development company to one with multiple Phase 3 clinical trials. Phase 3 development of our Technosphere Insulin System is far more complex than the earlier phases. Moreover, as a company, we have no previous experience in the Phase 3-through-NDA stage of product development.</w:t>
      </w:r>
    </w:p>
    <w:p>
      <w:pPr>
        <w:spacing w:after="0" w:line="7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require a well-structured plan to make this transition. We have a number of executive personnel, particularly in clinical development, regulatory and manufacturing production, including personnel with significant Phase 3-to-commercialization experience. We have aligned our management structure to accommodate the increasing complexity of our operations, and we have implemented the following measures, among others, to accommodate our transition, complete development of our Technosphere Insulin System and successfully implement our commercialization strategy for our Technosphere Insulin System:</w:t>
      </w:r>
    </w:p>
    <w:p>
      <w:pPr>
        <w:spacing w:after="0" w:line="46"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expand our manufacturing capabilities;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develop comprehensive and detailed commercialization, clinical development and regulatory plans;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implement standard operating procedures, including those for protocol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accomplish these measures in a timely manner, we would be at considerable risk of failing to:</w:t>
      </w:r>
    </w:p>
    <w:p>
      <w:pPr>
        <w:spacing w:after="0" w:line="117"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develop manufacturing capabilities to be ready for FDA inspection and commercial operations;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develop the key clinical data needed to obtain regulatory approval and compete successfully in the marketplace.</w:t>
      </w:r>
    </w:p>
    <w:p>
      <w:pPr>
        <w:spacing w:after="0" w:line="117" w:lineRule="exact"/>
        <w:rPr>
          <w:sz w:val="20"/>
          <w:szCs w:val="20"/>
          <w:color w:val="auto"/>
        </w:rPr>
      </w:pPr>
    </w:p>
    <w:p>
      <w:pPr>
        <w:jc w:val="both"/>
        <w:ind w:left="240" w:right="6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our Technosphere Insulin System in a timely and sufficient manner, or they fail to comply with applicable regulations, our business and results of operations would be harmed and the market price of our common stock could decline.*</w:t>
      </w:r>
    </w:p>
    <w:p>
      <w:pPr>
        <w:spacing w:after="0" w:line="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our Technosphere Insulin System to be commercially viable, we need access to sufficient, reliable and affordable supplies of insulin, our MedTone inhaler, the related cartridges and other materials. In November 2007, we entered into a long-term supply agreement with N.V. Organon, which is currently our sole supplier for insulin. We are aware of several other suppliers of bulk insulin, but to date we have not entered into a commercial relationship with any of them. We have obtained our Technosphere pre-cursor raw material from Evonik Industries, a major chemical manufacturer with facilities in Europe and North America, and we are evaluating a second manufacturer to supply us with commercial quantities of this raw material. We also utilize our in-house chemical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manufacturing plant as a back up facility. We believe both manufacturers have the capacity to supply our current clinical and future commercial requirements. We currently obtain our MedTone inhaler and cartridges from Vaupell, Inc., and have also qualified a second source for our cartridges. We must rely on our suppliers to comply with relevant regulatory and other legal requirements, including the production of insulin in accordance with cGMP and the production of MedTone inhaler and related cartridges in accordance with device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the development or manufacturing of our Technosphere Insulin System may be delayed. Any such events would delay the submission of our Technosphere Insulin System for regulatory approval or market introduction and subsequent sales and, if so, our business and results of operations will be harmed and the market price of our common stock may decline.</w:t>
      </w:r>
    </w:p>
    <w:p>
      <w:pPr>
        <w:spacing w:after="0" w:line="58"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We have never manufactured our Technosphere Insulin System or any other product candidate in commercial quantities, and if we fail to develop an effective manufacturing capability for our product candidates or to engage third-party manufacturers with this capability, we may be unable to commercialize these products.*</w:t>
      </w:r>
    </w:p>
    <w:p>
      <w:pPr>
        <w:spacing w:after="0" w:line="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obtained our Technosphere precursor raw material primarily from Evonik Industries and are evaluating a second manufacturer to supply us with commercial quantities. We use our Danbury, Connecticut facility to formulate Technosphere Insulin, fill plastic cartridges with Technosphere Insulin and blister package the cartridges for our clinical trials. We are presently increasing our formulation, fill and finishing capabilities at Danbury in order to accommodate our activities through initial commercialization. This expansion will involve a number of third-party suppliers of equipment and materials as well as engineering and construction services. Our suppliers may not deliver all of the required equipment, materials and services in a timely manner or at reasonable prices. If we encounter difficulties in our relationships with these suppliers, or if a supplier becomes unable to provide us with goods or services at the agreed-upon terms or schedule, our facilities expansion could be delayed or its costs increased.</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never manufactured our Technosphere Insulin System or any other product candidate in commercial quantities. As our product candidates move through the regulatory process, we will need to either develop the capability of manufacturing on a commercial scale or engage third-party manufacturers with this capability, and we cannot offer assurances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Technosphere Insulin at our Danbury facility, it would have to undergo a pre-approval inspection by the FDA. The expansion process and preparation for the FDA’s pre-approval inspection for commercial production at the Danbury facility could take an additional six months or longer. If we use a third-party supplier to formulate Technosphere Insulin or produce raw material, the transition could also require significant start-up time to qualify and implement the manufacturing process. If we engage a third-party manufacturer, our third-party manufacturer may not perform as agreed or may terminate its agreement with us.</w:t>
      </w:r>
    </w:p>
    <w:p>
      <w:pPr>
        <w:spacing w:after="0" w:line="75" w:lineRule="exact"/>
        <w:rPr>
          <w:sz w:val="20"/>
          <w:szCs w:val="20"/>
          <w:color w:val="auto"/>
        </w:rPr>
      </w:pPr>
    </w:p>
    <w:p>
      <w:pPr>
        <w:jc w:val="both"/>
        <w:ind w:right="600"/>
        <w:spacing w:after="0" w:line="286" w:lineRule="auto"/>
        <w:rPr>
          <w:sz w:val="20"/>
          <w:szCs w:val="20"/>
          <w:color w:val="auto"/>
        </w:rPr>
      </w:pPr>
      <w:r>
        <w:rPr>
          <w:rFonts w:ascii="Arial" w:cs="Arial" w:eastAsia="Arial" w:hAnsi="Arial"/>
          <w:sz w:val="17"/>
          <w:szCs w:val="17"/>
          <w:color w:val="auto"/>
        </w:rPr>
        <w:t>Additionally, if we manufacture commercial material at a different facility than the site of manufacture of clinical trial materials or if we manufacture commercial material on a significantly larger production scale than the production scale for clinical trial materials, we may be required by the FDA to establish that the results obtained from the clinical trials may reasonably be extrapolated to such commercial material.</w:t>
      </w:r>
    </w:p>
    <w:p>
      <w:pPr>
        <w:spacing w:after="0" w:line="5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research and development work involves the controlled storage and use of hazardous materials, including chemical, radioactive and biological materials. In addition, our manufacturing operations involve the use of CBZ-lysine, which is stable and non-hazardous under normal storage conditions, but may form an explosive mixture under certain conditions. Our operations also produce hazardous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initiated the final stages of the soil cleanup plan which we estimate will cost approximately $1.5 million to complete by the end of the third quarter of 2008.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 In the event that any cleanup costs are imposed on us and we are unable to collect the full amount of these costs and expenses from the seller or the party responsible for the contamination, we may be required to pay these costs and our business and results of operations may be harmed.</w:t>
      </w:r>
    </w:p>
    <w:p>
      <w:pPr>
        <w:spacing w:after="0" w:line="71"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6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 broad base of physicians, including primary care physicians and endocrinologists, treat patients with diabetes. A large sales force will be required in order to educate and support these physicians. Therefore, we plan to enter into collaborations with one or more pharmaceutical companies to market, distribute and sell our Technosphere Insulin System, if it is approved. If we fail to enter into collaborations, we would be required to establish our own direct sales, marketing and distribution capabilities. Establishing these capabilities can be time-consuming and expensive. Because we lack experience in selling pharmaceutical products to the diabetes market, we would be at a disadvantage compared to our potential competitors, all of whom have substantially more resources and experience than we do. For example, each of our competitors has an existing sales force in excess of 1,500 sales representatives. We, acting alone, would not initially be able to field a sales force as large as our competitors or provide the same degree of market research or marketing support. Also, we would not be able to match our competitor’s spending levels for pre-launch marketing preparation, including medical education.</w:t>
      </w:r>
    </w:p>
    <w:p>
      <w:pPr>
        <w:spacing w:after="0" w:line="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our competitors would have a greater ability to devote research resources toward expansion of the indications for their products. We cannot assure you that we will succeed in entering into acceptable collaborations, that any such collaboration will be successful or, if not, that we will successfully develop our own sales, marketing and distribution capabilities.</w:t>
      </w:r>
    </w:p>
    <w:p>
      <w:pPr>
        <w:spacing w:after="0" w:line="73"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6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Technosphere Insulin System and our other product candidates are new and unproven. Even if any of our product candidates obtain regulatory approvals, it may not gain market acceptance among physicians, patients, third-party payers and the healthcare community. Failure to achieve market acceptance would limit our ability to generate revenue and would adversely affect our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our Technosphere Insulin System and our other product candidates will depend on many factors, including the:</w:t>
      </w:r>
    </w:p>
    <w:p>
      <w:pPr>
        <w:spacing w:after="0" w:line="129"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claims for which FDA approval can be obtained, including superiority claims;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perceived advantages and disadvantages of competitive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willingness and ability of patients and the healthcare community to adopt new technologies;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ability to manufacture the product in sufficient quantities with acceptable quality and at an acceptable cost;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70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perception of patients and the healthcare community, including third-party payers, regarding the safety, efficacy and benefits of the product compared to those of competing products or therapies;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convenience and ease of administration of the product relative to existing treatment methods;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pricing and reimbursement of the product relative to existing treatment therapeutics and methods;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 for the product.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Physicians will not recommend a product until clinical data or other factors demonstrate the safety and efficacy of the product as compared to other treatments. Even if the clinical safety and efficacy of our product candidates is established, physicians may elect not to recommend these product candidates for a variety of factors, including the reimbursement policies of government and third-party payers and the effectiveness of our competitors in marketing their therapies. Because of these and other factors, any product that we may develop may not gain market acceptance, which would materially harm our business, financial condition and results of operations.</w:t>
      </w:r>
    </w:p>
    <w:p>
      <w:pPr>
        <w:spacing w:after="0" w:line="80" w:lineRule="exact"/>
        <w:rPr>
          <w:sz w:val="20"/>
          <w:szCs w:val="20"/>
          <w:color w:val="auto"/>
        </w:rPr>
      </w:pPr>
    </w:p>
    <w:p>
      <w:pPr>
        <w:ind w:left="240" w:right="340"/>
        <w:spacing w:after="0" w:line="277" w:lineRule="auto"/>
        <w:rPr>
          <w:sz w:val="20"/>
          <w:szCs w:val="20"/>
          <w:color w:val="auto"/>
        </w:rPr>
      </w:pPr>
      <w:r>
        <w:rPr>
          <w:rFonts w:ascii="Arial" w:cs="Arial" w:eastAsia="Arial" w:hAnsi="Arial"/>
          <w:sz w:val="18"/>
          <w:szCs w:val="18"/>
          <w:b w:val="1"/>
          <w:bCs w:val="1"/>
          <w:i w:val="1"/>
          <w:iCs w:val="1"/>
          <w:color w:val="auto"/>
        </w:rPr>
        <w:t>If third-party payers do not reimburse customers for our products, our products might not be used or purchased, which would adversely affect our revenues.</w:t>
      </w:r>
    </w:p>
    <w:p>
      <w:pPr>
        <w:spacing w:after="0" w:line="62"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healthcare reform proposals or legislation. Such reforms may make it difficult to complete the development and testing of our Technosphere Insulin System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7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testing, manufacturing, marketing and sale of our Technosphere Insulin System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our Technosphere Insulin System. In addition, we carry local policies per trial in each country in which we conduct clinical trials that require us to carry coverage based on local statutory requirements. We intend to obtain product liability coverage for commercial sales in the future if our Technosphere Insulin System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we may not have sufficient financial resources to complete development or commercialization of any of our product candidates and, if so, our business and results of operations would be harmed and the market price of our common stock may decline.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85"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If our Chief Executive Officer is unable to devote sufficient time and attention to our business, our operations and our ability to execute our business strategy could be materially harmed.</w:t>
      </w:r>
    </w:p>
    <w:p>
      <w:pPr>
        <w:spacing w:after="0" w:line="62"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Alfred Mann, our Chairman and Chief Executive Officer, is also serving as the Chairman of Advanced Bionics Corporation. Mr. Mann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facilities that are located in Southern California may be affected by man-made or natural disasters.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headquarters and some of our research and development activities are located in Southern California, where they are subject to a risk of man-made disasters, terrorism, and an enhanced risk of natural and other disasters such as fires, power and telecommunications failures, mudslides, and earthquakes. An act of terrorism,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If our internal controls over financial reporting are not considered effective, our business and stock price could be adversely affected.*</w:t>
      </w:r>
    </w:p>
    <w:p>
      <w:pPr>
        <w:spacing w:after="0" w:line="1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21" w:lineRule="exact"/>
        <w:rPr>
          <w:sz w:val="20"/>
          <w:szCs w:val="20"/>
          <w:color w:val="auto"/>
        </w:rPr>
      </w:pPr>
    </w:p>
    <w:p>
      <w:pPr>
        <w:ind w:left="240" w:right="240"/>
        <w:spacing w:after="0" w:line="277" w:lineRule="auto"/>
        <w:rPr>
          <w:sz w:val="20"/>
          <w:szCs w:val="20"/>
          <w:color w:val="auto"/>
        </w:rPr>
      </w:pPr>
      <w:r>
        <w:rPr>
          <w:rFonts w:ascii="Arial" w:cs="Arial" w:eastAsia="Arial" w:hAnsi="Arial"/>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6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our product candidates, including our Technosphere Insulin System, are subject to regulation, including regulation for safety, efficacy and quality, by the FDA in the United States and comparable authorities in other countries. FDA regulations and the regulation of comparable foreign regulatory authorities are wide-ranging and govern, among other things:</w:t>
      </w:r>
    </w:p>
    <w:p>
      <w:pPr>
        <w:spacing w:after="0" w:line="57"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Clinical testing can be costly and take many years, and the outcome is uncertain and susceptible to varying interpretations. Based on our discussions with the FDA at a recent pre-NDA meeting we expect that we will need to conduct a study prior to submitting our NDA that assesses the bioequivalency of the inhaler used in our clinical trials to date with the modified version of the same inhaler that we intend to use for commercial purposes. Although the FDA did not request any other trials prior to NDA submission, after receiving our data the agency could ask for additional studies. We cannot be certain when such studies might be requested, under what conditions such studies might be requested, or what the size or length of any 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our Technosphere Insulin System. Two of our three pivotal trials (studies 009 and 030) are being conducted under Special Protocol Assessments and the third (study 102) is very similar to study 009. Nonetheless, even if we believe the data collected from our clinical trials are sufficient, the FDA has substantial discretion in the approval process and may disagree with our interpretation of the data. For example, even if we meet the statistical criteria for non-inferiority with respect to the primary endpoint in a pivotal clinical study (study 102) of our Technosphere Insulin System, the FDA may deem the results uninterpretable because of issues related to the open-label, non-inferiority design of the study. Our failure to adequately demonstrate the safety and efficacy of any of our product candidates would delay or prevent regulatory approval of our product candidates, which could prevent us from achieving profitability.</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requirements governing the conduct of clinical trials and manufacturing and marketing of our product candidates, including our Technosphere Insulin System, outside the United States vary widely from country to country. Foreign approvals may take longer to obtain than FDA approvals and can require, among other things, additional testing and different clinical trial designs. Foreign regulatory approval processes include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of product development and regulatory agency review of each submitted new application may cause delays or rejections.</w:t>
      </w:r>
    </w:p>
    <w:p>
      <w:pPr>
        <w:spacing w:after="0" w:line="117"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On January 26, 2006, the FDA approved the first pulmonary insulin product, Exubera. This approval has had an impact on and, notwithstanding the voluntary withdrawal of the product from the market by its manufacturer, could still impact the development and registration of our Technosphere Insulin System in different ways, including: Exubera may be used as a reference for safety and efficacy evaluations of our Technosphere Insulin System, and the approval standards set for Exubera may be applied to other products that follow including our Technosphere Insulin System. The FDA has advised us that it will regulate our Technosphere Insulin System as a “combination product” because of the complex nature of the system that includes the combination of a new drug (Technosphere Insulin) and a new medical device (the MedTone inhaler used to administer the insulin). The FDA indicated that the review of a future drug marketing application for our Technosphere Insulin System will involve three separate review groups of the FDA:</w:t>
      </w:r>
    </w:p>
    <w:p>
      <w:pPr>
        <w:spacing w:after="0" w:line="7" w:lineRule="exact"/>
        <w:rPr>
          <w:sz w:val="20"/>
          <w:szCs w:val="20"/>
          <w:color w:val="auto"/>
        </w:rPr>
      </w:pPr>
    </w:p>
    <w:p>
      <w:pPr>
        <w:ind w:right="80" w:firstLine="8"/>
        <w:spacing w:after="0" w:line="271"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Metabolic and Endocrine Drug Products Division; (2) the Pulmonary Drug Products Division; and (3) 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our Technosphere Insulin System will be reviewed and approved.</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our Technosphere Insulin System as a combination product therapy may lengthen the product development and regulatory approval process, increase our development costs and delay or prevent the commercialization of our Technosphere Insulin System.</w:t>
      </w:r>
    </w:p>
    <w:p>
      <w:pPr>
        <w:spacing w:after="0" w:line="8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are developing our Technosphere Insulin System as a new treatment for diabetes utilizing unique, proprietary components. As a combination product, any changes to either the MedTone inhaler, the Technosphere material or the insulin, including new suppliers, could possibly result in FDA requirements to repeat certain clinical studies. This means, for example, that switching to an alternate delivery system could require us to undertake additional clinical trials and other studies, which could significantly delay the development and commercialization of our Technosphere Insulin System. Our product candidates that are currently in development for the treatment of cancer also face similar obstacles and costs.</w:t>
      </w:r>
    </w:p>
    <w:p>
      <w:pPr>
        <w:spacing w:after="0" w:line="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currently expect that our inhaler will be reviewed for approval as part of the NDA for our Technosphere Insulin System. No assurances exist that we will not be required to obtain separate device clearances or approval for use of our inhaler with our Technosphere Insulin System. This may result in our being subject to medical device review user fees and to other device requirements to market our inhaler and may result in significant delays in commercialization. Even if the device component is approved as part of our NDA for our Technosphere Insulin System, numerous device regulatory requirements still apply to the device part of the drug-device combination.</w:t>
      </w:r>
    </w:p>
    <w:p>
      <w:pPr>
        <w:spacing w:after="0" w:line="80" w:lineRule="exact"/>
        <w:rPr>
          <w:sz w:val="20"/>
          <w:szCs w:val="20"/>
          <w:color w:val="auto"/>
        </w:rPr>
      </w:pPr>
    </w:p>
    <w:p>
      <w:pPr>
        <w:ind w:left="240" w:right="280"/>
        <w:spacing w:after="0" w:line="277"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6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will not be able to commercialize our Technosphere Insulin System or any other product candidates until we have obtained regulatory approval. We have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57" w:lineRule="exact"/>
        <w:rPr>
          <w:sz w:val="20"/>
          <w:szCs w:val="20"/>
          <w:color w:val="auto"/>
        </w:rPr>
      </w:pPr>
    </w:p>
    <w:p>
      <w:pPr>
        <w:ind w:left="240" w:right="16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39" w:lineRule="exact"/>
        <w:rPr>
          <w:sz w:val="20"/>
          <w:szCs w:val="20"/>
          <w:color w:val="auto"/>
        </w:rPr>
      </w:pPr>
    </w:p>
    <w:p>
      <w:pPr>
        <w:ind w:left="240" w:right="8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6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our Technosphere Insulin System or limit the target population for our other product candidates. Based on currently available clinical studies, we believe that our Technosphere Insulin System may have certain advantages over currently approved insulin products including its approximation of the natural early insulin secretion normally seen in healthy individuals following the beginning of a meal. Nonetheless, there are no assurances that these and other advantages, if any, of our Technosphere Insulin System have clinical significance or can be confirmed in head-to-head clinical trials against appropriate approved comparator insulin drug products. Such comparative clinical trials are required to make these types of superiority claims in labeling or advertising. These aforementioned observations and others may therefore not be capable of substantiation in comparative clinical trials prior to our NDA submission, if at all, or otherwise may not be suitable for inclusion in product labeling or advertising and, as a result, our Technosphere Insulin System may not have competitive advantages when compared to other insulin products.</w:t>
      </w:r>
    </w:p>
    <w:p>
      <w:pPr>
        <w:spacing w:after="0" w:line="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questions that have been raised about the safety of certain approved prescription products, including the lack of adequate warnings, the FDA and United States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FDA and United States Congressional initiatives pertaining to ensuring the safety of marketed drugs or other developments pertaining to the pharmaceutical industry will not adversely affect our operations.</w:t>
      </w:r>
    </w:p>
    <w:p>
      <w:pPr>
        <w:spacing w:after="0" w:line="8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61" w:lineRule="exact"/>
        <w:rPr>
          <w:sz w:val="20"/>
          <w:szCs w:val="20"/>
          <w:color w:val="auto"/>
        </w:rPr>
      </w:pPr>
    </w:p>
    <w:p>
      <w:pPr>
        <w:ind w:left="240" w:right="200"/>
        <w:spacing w:after="0" w:line="308" w:lineRule="auto"/>
        <w:rPr>
          <w:sz w:val="20"/>
          <w:szCs w:val="20"/>
          <w:color w:val="auto"/>
        </w:rPr>
      </w:pPr>
      <w:r>
        <w:rPr>
          <w:rFonts w:ascii="Arial" w:cs="Arial" w:eastAsia="Arial" w:hAnsi="Arial"/>
          <w:sz w:val="17"/>
          <w:szCs w:val="17"/>
          <w:b w:val="1"/>
          <w:bCs w:val="1"/>
          <w:i w:val="1"/>
          <w:iCs w:val="1"/>
          <w:color w:val="auto"/>
        </w:rPr>
        <w:t>Our insulin supplier does not yet supply human recombinant insulin for an FDA-approved product and will likely be subject to an FDA preapproval inspection before the agency will approve a future marketing application for our Technosphere Insulin System.</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insulin supplier sells its product outside of the United States. However, 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our Technosphere Insulin System. We also depend on suppliers for other materials that comprise our Technosphere Insulin System, including our MedTone inhaler and cartridges. All of our device suppliers must comply with relevant regulatory requirements including QSR. It also is likely that major suppliers will be subject to FDA preapproval inspections before the agency will approve a future marketing application for our Technosphere Insulin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System. At the present time our insulin supplier is certified to the ISO9001:2000 Standard. There can be no assurance, however, that if the FDA were to conduct a preapproval 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80" w:lineRule="exact"/>
        <w:rPr>
          <w:sz w:val="20"/>
          <w:szCs w:val="20"/>
          <w:color w:val="auto"/>
        </w:rPr>
      </w:pPr>
    </w:p>
    <w:p>
      <w:pPr>
        <w:ind w:left="240" w:right="300"/>
        <w:spacing w:after="0" w:line="277"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present, there are a number of clinical trials being conducted by us and other pharmaceutical companies involving insulin delivery systems. If we discover that our lead product candidate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our Technosphere Insulin System. As well, the public perception of our lead product candidates might be adversely affected, which could harm our business and results of operations and cause the market price of our common stock to decline, even if the concern relates to another company’s products or product candidates.</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alternative technologies.</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70"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3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ind w:left="240" w:right="260"/>
        <w:spacing w:after="0" w:line="375" w:lineRule="auto"/>
        <w:rPr>
          <w:sz w:val="20"/>
          <w:szCs w:val="20"/>
          <w:color w:val="auto"/>
        </w:rPr>
      </w:pPr>
      <w:r>
        <w:rPr>
          <w:rFonts w:ascii="Arial" w:cs="Arial" w:eastAsia="Arial" w:hAnsi="Arial"/>
          <w:sz w:val="15"/>
          <w:szCs w:val="15"/>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Although we own a number of domestic and foreign patents and patent applications relating to our Technosphere Insulin System and cancer vaccine products under development, we have identified certain third-party patents having claims relating to pulmonary insulin delivery that may trigger an allegation of infringement upon the commercial manufacture and sale of our Technosphere Insulin System.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not selected trade names for some of our products and product candidates; therefore, we have not filed trademark registrations for our potential trade names for our products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39"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the availability of critical materials used in developing and manufacturing our Technosphere Insulin System or other product candidates;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discussion of our Technosphere Insulin System, our other product candidates, competitors’ products, or our stock price by the financial and scientific press, the healthcare community and online investor communities such as chat rooms;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general economic, political or stock market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Public companies in general and companies included on the Nasdaq Stock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73"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b w:val="1"/>
          <w:bCs w:val="1"/>
          <w:i w:val="1"/>
          <w:i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At August 7, 2008, Mr. Mann beneficially owned approximately 48% of our outstanding shares of capital stock. We believe members of Mr. Mann’s family beneficially owned at least an additional 1%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5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the Technion-Israel Institute of Technology, and at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future sale of our common stock or the conversion of our senior convertible notes into common stock could negatively affect our stock price.</w:t>
      </w:r>
    </w:p>
    <w:p>
      <w:pPr>
        <w:spacing w:after="0" w:line="14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Substantially all of the outstanding shares of our common stock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could adversely affect the 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78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stock appreciation for any return on your investment.</w:t>
      </w:r>
    </w:p>
    <w:p>
      <w:pPr>
        <w:spacing w:after="0" w:line="14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sales of equity securities by us that were not registered under the Securities Act of 1933, as amended, during the second quarter of 2008.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2008 Annual Meeting of Stockholders was held on May 22,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matters were voted on at our 2008 Annual Meeting of Stockholders:</w:t>
      </w:r>
    </w:p>
    <w:p>
      <w:pPr>
        <w:spacing w:after="0" w:line="117" w:lineRule="exact"/>
        <w:rPr>
          <w:sz w:val="20"/>
          <w:szCs w:val="20"/>
          <w:color w:val="auto"/>
        </w:rPr>
      </w:pPr>
    </w:p>
    <w:p>
      <w:pPr>
        <w:ind w:right="240" w:firstLine="233"/>
        <w:spacing w:after="0" w:line="277" w:lineRule="auto"/>
        <w:tabs>
          <w:tab w:leader="none" w:pos="4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election of nine nominees to serve on our board of directors until the 2009 Annual Meeting of Stockholders. The following nine individuals were elected to our board of directors by the votes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8"/>
              </w:rPr>
              <w:t>Affirmative</w:t>
            </w:r>
          </w:p>
        </w:tc>
        <w:tc>
          <w:tcPr>
            <w:tcW w:w="5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Votes</w:t>
            </w:r>
          </w:p>
        </w:tc>
      </w:tr>
      <w:tr>
        <w:trPr>
          <w:trHeight w:val="171"/>
        </w:trPr>
        <w:tc>
          <w:tcPr>
            <w:tcW w:w="37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w:t>
            </w:r>
          </w:p>
        </w:tc>
        <w:tc>
          <w:tcPr>
            <w:tcW w:w="5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Withheld</w:t>
            </w: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Alfred E. Mann</w:t>
            </w:r>
          </w:p>
        </w:tc>
        <w:tc>
          <w:tcPr>
            <w:tcW w:w="5980" w:type="dxa"/>
            <w:vAlign w:val="bottom"/>
            <w:gridSpan w:val="2"/>
            <w:shd w:val="clear" w:color="auto" w:fill="CCEEFF"/>
          </w:tcPr>
          <w:p>
            <w:pPr>
              <w:jc w:val="center"/>
              <w:ind w:left="4450"/>
              <w:spacing w:after="0"/>
              <w:rPr>
                <w:sz w:val="20"/>
                <w:szCs w:val="20"/>
                <w:color w:val="auto"/>
              </w:rPr>
            </w:pPr>
            <w:r>
              <w:rPr>
                <w:rFonts w:ascii="Arial" w:cs="Arial" w:eastAsia="Arial" w:hAnsi="Arial"/>
                <w:sz w:val="18"/>
                <w:szCs w:val="18"/>
                <w:color w:val="auto"/>
                <w:w w:val="88"/>
              </w:rPr>
              <w:t>95,940,357</w:t>
            </w:r>
          </w:p>
        </w:tc>
        <w:tc>
          <w:tcPr>
            <w:tcW w:w="172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480,730</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Hakan S. Edstrom</w:t>
            </w:r>
          </w:p>
        </w:tc>
        <w:tc>
          <w:tcPr>
            <w:tcW w:w="5980" w:type="dxa"/>
            <w:vAlign w:val="bottom"/>
            <w:gridSpan w:val="2"/>
          </w:tcPr>
          <w:p>
            <w:pPr>
              <w:jc w:val="center"/>
              <w:ind w:left="4450"/>
              <w:spacing w:after="0"/>
              <w:rPr>
                <w:sz w:val="20"/>
                <w:szCs w:val="20"/>
                <w:color w:val="auto"/>
              </w:rPr>
            </w:pPr>
            <w:r>
              <w:rPr>
                <w:rFonts w:ascii="Arial" w:cs="Arial" w:eastAsia="Arial" w:hAnsi="Arial"/>
                <w:sz w:val="18"/>
                <w:szCs w:val="18"/>
                <w:color w:val="auto"/>
                <w:w w:val="88"/>
              </w:rPr>
              <w:t>96,085,949</w:t>
            </w:r>
          </w:p>
        </w:tc>
        <w:tc>
          <w:tcPr>
            <w:tcW w:w="17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335,138</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Barry E. Cohen</w:t>
            </w:r>
          </w:p>
        </w:tc>
        <w:tc>
          <w:tcPr>
            <w:tcW w:w="5980" w:type="dxa"/>
            <w:vAlign w:val="bottom"/>
            <w:gridSpan w:val="2"/>
            <w:shd w:val="clear" w:color="auto" w:fill="CCEEFF"/>
          </w:tcPr>
          <w:p>
            <w:pPr>
              <w:jc w:val="center"/>
              <w:ind w:left="4450"/>
              <w:spacing w:after="0"/>
              <w:rPr>
                <w:sz w:val="20"/>
                <w:szCs w:val="20"/>
                <w:color w:val="auto"/>
              </w:rPr>
            </w:pPr>
            <w:r>
              <w:rPr>
                <w:rFonts w:ascii="Arial" w:cs="Arial" w:eastAsia="Arial" w:hAnsi="Arial"/>
                <w:sz w:val="18"/>
                <w:szCs w:val="18"/>
                <w:color w:val="auto"/>
                <w:w w:val="88"/>
              </w:rPr>
              <w:t>95,991,344</w:t>
            </w:r>
          </w:p>
        </w:tc>
        <w:tc>
          <w:tcPr>
            <w:tcW w:w="172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429,743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Ronald J. Consiglio</w:t>
            </w:r>
          </w:p>
        </w:tc>
        <w:tc>
          <w:tcPr>
            <w:tcW w:w="5980" w:type="dxa"/>
            <w:vAlign w:val="bottom"/>
            <w:gridSpan w:val="2"/>
          </w:tcPr>
          <w:p>
            <w:pPr>
              <w:jc w:val="center"/>
              <w:ind w:left="4450"/>
              <w:spacing w:after="0"/>
              <w:rPr>
                <w:sz w:val="20"/>
                <w:szCs w:val="20"/>
                <w:color w:val="auto"/>
              </w:rPr>
            </w:pPr>
            <w:r>
              <w:rPr>
                <w:rFonts w:ascii="Arial" w:cs="Arial" w:eastAsia="Arial" w:hAnsi="Arial"/>
                <w:sz w:val="18"/>
                <w:szCs w:val="18"/>
                <w:color w:val="auto"/>
                <w:w w:val="88"/>
              </w:rPr>
              <w:t>96,041,637</w:t>
            </w:r>
          </w:p>
        </w:tc>
        <w:tc>
          <w:tcPr>
            <w:tcW w:w="17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379,450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Michael Friedman, M.D.</w:t>
            </w:r>
          </w:p>
        </w:tc>
        <w:tc>
          <w:tcPr>
            <w:tcW w:w="5980" w:type="dxa"/>
            <w:vAlign w:val="bottom"/>
            <w:gridSpan w:val="2"/>
            <w:shd w:val="clear" w:color="auto" w:fill="CCEEFF"/>
          </w:tcPr>
          <w:p>
            <w:pPr>
              <w:jc w:val="center"/>
              <w:ind w:left="4450"/>
              <w:spacing w:after="0"/>
              <w:rPr>
                <w:sz w:val="20"/>
                <w:szCs w:val="20"/>
                <w:color w:val="auto"/>
              </w:rPr>
            </w:pPr>
            <w:r>
              <w:rPr>
                <w:rFonts w:ascii="Arial" w:cs="Arial" w:eastAsia="Arial" w:hAnsi="Arial"/>
                <w:sz w:val="18"/>
                <w:szCs w:val="18"/>
                <w:color w:val="auto"/>
                <w:w w:val="88"/>
              </w:rPr>
              <w:t>95,895,052</w:t>
            </w:r>
          </w:p>
        </w:tc>
        <w:tc>
          <w:tcPr>
            <w:tcW w:w="172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526,035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Heather May Murren</w:t>
            </w:r>
          </w:p>
        </w:tc>
        <w:tc>
          <w:tcPr>
            <w:tcW w:w="5980" w:type="dxa"/>
            <w:vAlign w:val="bottom"/>
            <w:gridSpan w:val="2"/>
          </w:tcPr>
          <w:p>
            <w:pPr>
              <w:jc w:val="center"/>
              <w:ind w:left="4450"/>
              <w:spacing w:after="0"/>
              <w:rPr>
                <w:sz w:val="20"/>
                <w:szCs w:val="20"/>
                <w:color w:val="auto"/>
              </w:rPr>
            </w:pPr>
            <w:r>
              <w:rPr>
                <w:rFonts w:ascii="Arial" w:cs="Arial" w:eastAsia="Arial" w:hAnsi="Arial"/>
                <w:sz w:val="18"/>
                <w:szCs w:val="18"/>
                <w:color w:val="auto"/>
                <w:w w:val="88"/>
              </w:rPr>
              <w:t>96,092,042</w:t>
            </w:r>
          </w:p>
        </w:tc>
        <w:tc>
          <w:tcPr>
            <w:tcW w:w="17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329,045</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Kent Kresa</w:t>
            </w:r>
          </w:p>
        </w:tc>
        <w:tc>
          <w:tcPr>
            <w:tcW w:w="5980" w:type="dxa"/>
            <w:vAlign w:val="bottom"/>
            <w:gridSpan w:val="2"/>
            <w:shd w:val="clear" w:color="auto" w:fill="CCEEFF"/>
          </w:tcPr>
          <w:p>
            <w:pPr>
              <w:jc w:val="center"/>
              <w:ind w:left="4450"/>
              <w:spacing w:after="0"/>
              <w:rPr>
                <w:sz w:val="20"/>
                <w:szCs w:val="20"/>
                <w:color w:val="auto"/>
              </w:rPr>
            </w:pPr>
            <w:r>
              <w:rPr>
                <w:rFonts w:ascii="Arial" w:cs="Arial" w:eastAsia="Arial" w:hAnsi="Arial"/>
                <w:sz w:val="18"/>
                <w:szCs w:val="18"/>
                <w:color w:val="auto"/>
                <w:w w:val="88"/>
              </w:rPr>
              <w:t>95,996,639</w:t>
            </w:r>
          </w:p>
        </w:tc>
        <w:tc>
          <w:tcPr>
            <w:tcW w:w="172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424,448</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David H. MacCallum</w:t>
            </w:r>
          </w:p>
        </w:tc>
        <w:tc>
          <w:tcPr>
            <w:tcW w:w="5980" w:type="dxa"/>
            <w:vAlign w:val="bottom"/>
            <w:gridSpan w:val="2"/>
          </w:tcPr>
          <w:p>
            <w:pPr>
              <w:jc w:val="center"/>
              <w:ind w:left="4450"/>
              <w:spacing w:after="0"/>
              <w:rPr>
                <w:sz w:val="20"/>
                <w:szCs w:val="20"/>
                <w:color w:val="auto"/>
              </w:rPr>
            </w:pPr>
            <w:r>
              <w:rPr>
                <w:rFonts w:ascii="Arial" w:cs="Arial" w:eastAsia="Arial" w:hAnsi="Arial"/>
                <w:sz w:val="18"/>
                <w:szCs w:val="18"/>
                <w:color w:val="auto"/>
                <w:w w:val="88"/>
              </w:rPr>
              <w:t>96,095,664</w:t>
            </w:r>
          </w:p>
        </w:tc>
        <w:tc>
          <w:tcPr>
            <w:tcW w:w="17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325,423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Henry L. Nordhoff</w:t>
            </w:r>
          </w:p>
        </w:tc>
        <w:tc>
          <w:tcPr>
            <w:tcW w:w="5980" w:type="dxa"/>
            <w:vAlign w:val="bottom"/>
            <w:gridSpan w:val="2"/>
            <w:shd w:val="clear" w:color="auto" w:fill="CCEEFF"/>
          </w:tcPr>
          <w:p>
            <w:pPr>
              <w:jc w:val="center"/>
              <w:ind w:left="4450"/>
              <w:spacing w:after="0"/>
              <w:rPr>
                <w:sz w:val="20"/>
                <w:szCs w:val="20"/>
                <w:color w:val="auto"/>
              </w:rPr>
            </w:pPr>
            <w:r>
              <w:rPr>
                <w:rFonts w:ascii="Arial" w:cs="Arial" w:eastAsia="Arial" w:hAnsi="Arial"/>
                <w:sz w:val="18"/>
                <w:szCs w:val="18"/>
                <w:color w:val="auto"/>
                <w:w w:val="88"/>
              </w:rPr>
              <w:t>95,999,862</w:t>
            </w:r>
          </w:p>
        </w:tc>
        <w:tc>
          <w:tcPr>
            <w:tcW w:w="172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421,225</w:t>
            </w:r>
          </w:p>
        </w:tc>
      </w:tr>
      <w:tr>
        <w:trPr>
          <w:trHeight w:val="405"/>
        </w:trPr>
        <w:tc>
          <w:tcPr>
            <w:tcW w:w="3720" w:type="dxa"/>
            <w:vAlign w:val="bottom"/>
          </w:tcPr>
          <w:p>
            <w:pPr>
              <w:spacing w:after="0"/>
              <w:rPr>
                <w:sz w:val="24"/>
                <w:szCs w:val="24"/>
                <w:color w:val="auto"/>
              </w:rPr>
            </w:pPr>
          </w:p>
        </w:tc>
        <w:tc>
          <w:tcPr>
            <w:tcW w:w="4540" w:type="dxa"/>
            <w:vAlign w:val="bottom"/>
          </w:tcPr>
          <w:p>
            <w:pPr>
              <w:jc w:val="right"/>
              <w:ind w:right="2370"/>
              <w:spacing w:after="0"/>
              <w:rPr>
                <w:sz w:val="20"/>
                <w:szCs w:val="20"/>
                <w:color w:val="auto"/>
              </w:rPr>
            </w:pPr>
            <w:r>
              <w:rPr>
                <w:rFonts w:ascii="Arial" w:cs="Arial" w:eastAsia="Arial" w:hAnsi="Arial"/>
                <w:sz w:val="18"/>
                <w:szCs w:val="18"/>
                <w:color w:val="auto"/>
              </w:rPr>
              <w:t>35</w:t>
            </w: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6"/>
        </w:trPr>
        <w:tc>
          <w:tcPr>
            <w:tcW w:w="3720" w:type="dxa"/>
            <w:vAlign w:val="bottom"/>
            <w:tcBorders>
              <w:bottom w:val="single" w:sz="8" w:color="808080"/>
            </w:tcBorders>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33"/>
        <w:spacing w:after="0" w:line="312" w:lineRule="auto"/>
        <w:tabs>
          <w:tab w:leader="none" w:pos="40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approve an increase in the maximum number of shares of common stock that may be issued under MannKind’s 2004 Equity Incentive Plan from 9,000,000 shares to 14,000,000 shares. The increase in the maximum number of shares of common stock under MannKind’s 2004 Equity Incentive Plan was approved by the following vote: 51,414,578 votes for and 29,321,515 votes against, with 27,622 votes abstaining and 15,657,372 broker non-votes.</w:t>
      </w:r>
    </w:p>
    <w:p>
      <w:pPr>
        <w:spacing w:after="0" w:line="38" w:lineRule="exact"/>
        <w:rPr>
          <w:rFonts w:ascii="Arial" w:cs="Arial" w:eastAsia="Arial" w:hAnsi="Arial"/>
          <w:sz w:val="16"/>
          <w:szCs w:val="16"/>
          <w:color w:val="auto"/>
        </w:rPr>
      </w:pPr>
    </w:p>
    <w:p>
      <w:pPr>
        <w:ind w:right="180" w:firstLine="233"/>
        <w:spacing w:after="0" w:line="277" w:lineRule="auto"/>
        <w:tabs>
          <w:tab w:leader="none" w:pos="4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ratification of Deloitte &amp; Touche LLP as independent auditor for the fiscal year ending December 31, 2008 was approved by the following vote: 96,129,610 votes for and 195,556 votes against, with 92,921 votes abstaining and 3,000 broker non-votes.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200" w:type="dxa"/>
            <w:vAlign w:val="bottom"/>
            <w:vMerge w:val="restart"/>
          </w:tcPr>
          <w:p>
            <w:pPr>
              <w:ind w:left="4660"/>
              <w:spacing w:after="0"/>
              <w:rPr>
                <w:sz w:val="20"/>
                <w:szCs w:val="20"/>
                <w:color w:val="auto"/>
              </w:rPr>
            </w:pPr>
            <w:r>
              <w:rPr>
                <w:rFonts w:ascii="Arial" w:cs="Arial" w:eastAsia="Arial" w:hAnsi="Arial"/>
                <w:sz w:val="14"/>
                <w:szCs w:val="14"/>
                <w:b w:val="1"/>
                <w:bCs w:val="1"/>
                <w:color w:val="auto"/>
                <w:w w:val="91"/>
              </w:rPr>
              <w:t>Description of Document</w:t>
            </w:r>
          </w:p>
        </w:tc>
        <w:tc>
          <w:tcPr>
            <w:tcW w:w="0" w:type="dxa"/>
            <w:vAlign w:val="bottom"/>
          </w:tcPr>
          <w:p>
            <w:pPr>
              <w:spacing w:after="0"/>
              <w:rPr>
                <w:sz w:val="1"/>
                <w:szCs w:val="1"/>
                <w:color w:val="auto"/>
              </w:rPr>
            </w:pPr>
          </w:p>
        </w:tc>
      </w:tr>
      <w:tr>
        <w:trPr>
          <w:trHeight w:val="157"/>
        </w:trPr>
        <w:tc>
          <w:tcPr>
            <w:tcW w:w="740" w:type="dxa"/>
            <w:vAlign w:val="bottom"/>
          </w:tcPr>
          <w:p>
            <w:pPr>
              <w:spacing w:after="0" w:line="157" w:lineRule="exact"/>
              <w:rPr>
                <w:sz w:val="20"/>
                <w:szCs w:val="20"/>
                <w:color w:val="auto"/>
              </w:rPr>
            </w:pPr>
            <w:r>
              <w:rPr>
                <w:rFonts w:ascii="Arial" w:cs="Arial" w:eastAsia="Arial" w:hAnsi="Arial"/>
                <w:sz w:val="14"/>
                <w:szCs w:val="14"/>
                <w:b w:val="1"/>
                <w:bCs w:val="1"/>
                <w:color w:val="auto"/>
              </w:rPr>
              <w:t>Number</w:t>
            </w:r>
          </w:p>
        </w:tc>
        <w:tc>
          <w:tcPr>
            <w:tcW w:w="6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40" w:type="dxa"/>
            <w:vAlign w:val="bottom"/>
          </w:tcPr>
          <w:p>
            <w:pPr>
              <w:jc w:val="right"/>
              <w:ind w:right="82"/>
              <w:spacing w:after="0"/>
              <w:rPr>
                <w:sz w:val="20"/>
                <w:szCs w:val="20"/>
                <w:color w:val="auto"/>
              </w:rPr>
            </w:pPr>
            <w:r>
              <w:rPr>
                <w:rFonts w:ascii="Arial" w:cs="Arial" w:eastAsia="Arial" w:hAnsi="Arial"/>
                <w:sz w:val="18"/>
                <w:szCs w:val="18"/>
                <w:color w:val="auto"/>
              </w:rPr>
              <w:t>3.1(1)</w:t>
            </w:r>
          </w:p>
        </w:tc>
        <w:tc>
          <w:tcPr>
            <w:tcW w:w="6200" w:type="dxa"/>
            <w:vAlign w:val="bottom"/>
          </w:tcPr>
          <w:p>
            <w:pPr>
              <w:ind w:left="180"/>
              <w:spacing w:after="0"/>
              <w:rPr>
                <w:sz w:val="20"/>
                <w:szCs w:val="20"/>
                <w:color w:val="auto"/>
              </w:rPr>
            </w:pPr>
            <w:r>
              <w:rPr>
                <w:rFonts w:ascii="Arial" w:cs="Arial" w:eastAsia="Arial" w:hAnsi="Arial"/>
                <w:sz w:val="18"/>
                <w:szCs w:val="18"/>
                <w:color w:val="auto"/>
              </w:rPr>
              <w:t>Restated Certificate of Incorporation.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Certificate of Amendment of Amended and Restated Certificate of Incorporation.</w:t>
      </w:r>
    </w:p>
    <w:p>
      <w:pPr>
        <w:spacing w:after="0" w:line="225"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color w:val="auto"/>
        </w:rPr>
        <w:t>Amended and Restated Bylaws.</w:t>
      </w:r>
    </w:p>
    <w:p>
      <w:pPr>
        <w:spacing w:after="0" w:line="225"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Form of common stock certificate.</w:t>
      </w:r>
    </w:p>
    <w:p>
      <w:pPr>
        <w:spacing w:after="0" w:line="225" w:lineRule="exact"/>
        <w:rPr>
          <w:sz w:val="20"/>
          <w:szCs w:val="20"/>
          <w:color w:val="auto"/>
        </w:rPr>
      </w:pPr>
    </w:p>
    <w:p>
      <w:pPr>
        <w:ind w:left="920" w:right="80" w:hanging="790"/>
        <w:spacing w:after="0" w:line="277" w:lineRule="auto"/>
        <w:tabs>
          <w:tab w:leader="none" w:pos="9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Registration Rights Agreement, dated October 15, 1998 by and among CTL ImmunoTherapies Corp., Medical Research Group, LLC, McLean Watson Advisory Inc. and Alfred E. Mann, as amended.</w:t>
      </w:r>
    </w:p>
    <w:p>
      <w:pPr>
        <w:spacing w:after="0" w:line="170"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Executive Severance Agreement dated April 21, 2008 between MannKind and Matthew J. Pfeffer</w:t>
      </w:r>
    </w:p>
    <w:p>
      <w:pPr>
        <w:spacing w:after="0" w:line="225"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Change of Control Agreement dated April 21, 2008 between MannKind and Matthew J. Pfeffer.</w:t>
      </w:r>
    </w:p>
    <w:p>
      <w:pPr>
        <w:spacing w:after="0" w:line="225"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Rules 13a-14(a) or 15d-14(a) of the Securities Exchange Act of 1934, as amended.</w:t>
      </w:r>
    </w:p>
    <w:p>
      <w:pPr>
        <w:spacing w:after="0" w:line="225"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Rules 13a-14(a) or 15d-14(a) of the Securities Exchange Act of 1934, as amended.</w:t>
      </w:r>
    </w:p>
    <w:p>
      <w:pPr>
        <w:spacing w:after="0" w:line="225" w:lineRule="exact"/>
        <w:rPr>
          <w:sz w:val="20"/>
          <w:szCs w:val="20"/>
          <w:color w:val="auto"/>
        </w:rPr>
      </w:pPr>
    </w:p>
    <w:p>
      <w:pPr>
        <w:ind w:left="920" w:right="140" w:hanging="658"/>
        <w:spacing w:after="0" w:line="308" w:lineRule="auto"/>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Certifications of the Chief Executive Officer and Chief Financial Officer Pursuant to Rules 13a-14(b) or 15d-14(b) of the Securities Exchange Act of 1934, as amended and Section 1350 of Chapter 63 of Title 18 of the United States Code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75" w:lineRule="exact"/>
        <w:rPr>
          <w:sz w:val="20"/>
          <w:szCs w:val="20"/>
          <w:color w:val="auto"/>
        </w:rPr>
      </w:pPr>
    </w:p>
    <w:p>
      <w:pPr>
        <w:ind w:left="920" w:hanging="613"/>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920" w:right="180" w:hanging="672"/>
        <w:spacing w:after="0" w:line="277"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MannKind’s registration statement on Form S-1 (File No. 333-115020), filed with the SEC on April 30, 2004, as amended.</w:t>
      </w:r>
    </w:p>
    <w:p>
      <w:pPr>
        <w:spacing w:after="0" w:line="170" w:lineRule="exact"/>
        <w:rPr>
          <w:rFonts w:ascii="Arial" w:cs="Arial" w:eastAsia="Arial" w:hAnsi="Arial"/>
          <w:sz w:val="18"/>
          <w:szCs w:val="18"/>
          <w:color w:val="auto"/>
        </w:rPr>
      </w:pPr>
    </w:p>
    <w:p>
      <w:pPr>
        <w:ind w:left="920" w:hanging="672"/>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filed with the SEC on August 9, 2007.</w:t>
      </w:r>
    </w:p>
    <w:p>
      <w:pPr>
        <w:spacing w:after="0" w:line="225" w:lineRule="exact"/>
        <w:rPr>
          <w:rFonts w:ascii="Arial" w:cs="Arial" w:eastAsia="Arial" w:hAnsi="Arial"/>
          <w:sz w:val="18"/>
          <w:szCs w:val="18"/>
          <w:color w:val="auto"/>
        </w:rPr>
      </w:pPr>
    </w:p>
    <w:p>
      <w:pPr>
        <w:ind w:left="920" w:hanging="672"/>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November 19, 2007.</w:t>
      </w:r>
    </w:p>
    <w:p>
      <w:pPr>
        <w:spacing w:after="0" w:line="225" w:lineRule="exact"/>
        <w:rPr>
          <w:rFonts w:ascii="Arial" w:cs="Arial" w:eastAsia="Arial" w:hAnsi="Arial"/>
          <w:sz w:val="18"/>
          <w:szCs w:val="18"/>
          <w:color w:val="auto"/>
        </w:rPr>
      </w:pPr>
    </w:p>
    <w:p>
      <w:pPr>
        <w:ind w:left="920" w:hanging="672"/>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as amended, filed with the SEC on October 16, 2007.</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Dated: August 11, 2008</w:t>
      </w:r>
      <w:r>
        <w:rPr>
          <w:sz w:val="20"/>
          <w:szCs w:val="20"/>
          <w:color w:val="auto"/>
        </w:rPr>
        <w:tab/>
      </w:r>
      <w:r>
        <w:rPr>
          <w:rFonts w:ascii="Arial" w:cs="Arial" w:eastAsia="Arial" w:hAnsi="Arial"/>
          <w:sz w:val="17"/>
          <w:szCs w:val="17"/>
          <w:color w:val="auto"/>
        </w:rPr>
        <w:t>MANNKIND CORPORATION</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 /s/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2588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Matthew J. Pfeffer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19"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17"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June 30, 2008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60" w:firstLine="8"/>
        <w:spacing w:after="0" w:line="308" w:lineRule="auto"/>
        <w:tabs>
          <w:tab w:leader="none" w:pos="177"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August 11, 2008</w:t>
      </w:r>
      <w:r>
        <w:rPr>
          <w:sz w:val="20"/>
          <w:szCs w:val="20"/>
          <w:color w:val="auto"/>
        </w:rPr>
        <w:tab/>
      </w:r>
      <w:r>
        <w:rPr>
          <w:rFonts w:ascii="Arial" w:cs="Arial" w:eastAsia="Arial" w:hAnsi="Arial"/>
          <w:sz w:val="17"/>
          <w:szCs w:val="17"/>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14605</wp:posOffset>
            </wp:positionV>
            <wp:extent cx="25298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Alfred E. Mann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17"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June 30, 2008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60" w:firstLine="8"/>
        <w:spacing w:after="0" w:line="308" w:lineRule="auto"/>
        <w:tabs>
          <w:tab w:leader="none" w:pos="177"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August 11, 2008</w:t>
      </w:r>
      <w:r>
        <w:rPr>
          <w:sz w:val="20"/>
          <w:szCs w:val="20"/>
          <w:color w:val="auto"/>
        </w:rPr>
        <w:tab/>
      </w:r>
      <w:r>
        <w:rPr>
          <w:rFonts w:ascii="Arial" w:cs="Arial" w:eastAsia="Arial" w:hAnsi="Arial"/>
          <w:sz w:val="16"/>
          <w:szCs w:val="16"/>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14605</wp:posOffset>
            </wp:positionV>
            <wp:extent cx="25298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Matthew J. Pfeffer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0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connection with the filing of the quarterly report of MannKind Corporation (the “Company”) on Form 10-Q for the quarterly period ended June 30, 2008,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the Company, and Matthew J. Pfeffer, Chief Financial Officer of the Company, each hereby certifies that to the best of his knowledge:</w:t>
      </w:r>
    </w:p>
    <w:p>
      <w:pPr>
        <w:spacing w:after="0" w:line="64" w:lineRule="exact"/>
        <w:rPr>
          <w:sz w:val="20"/>
          <w:szCs w:val="20"/>
          <w:color w:val="auto"/>
        </w:rPr>
      </w:pPr>
    </w:p>
    <w:p>
      <w:pPr>
        <w:ind w:left="400" w:hanging="167"/>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400" w:hanging="167"/>
        <w:spacing w:after="0"/>
        <w:tabs>
          <w:tab w:leader="none" w:pos="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2008</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have set their hands hereto as of the 11th day of August, 2008.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c>
          <w:tcPr>
            <w:tcW w:w="172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209"/>
        </w:trPr>
        <w:tc>
          <w:tcPr>
            <w:tcW w:w="4000" w:type="dxa"/>
            <w:vAlign w:val="bottom"/>
          </w:tcPr>
          <w:p>
            <w:pPr>
              <w:spacing w:after="0"/>
              <w:rPr>
                <w:sz w:val="20"/>
                <w:szCs w:val="20"/>
                <w:color w:val="auto"/>
              </w:rPr>
            </w:pPr>
            <w:r>
              <w:rPr>
                <w:rFonts w:ascii="Arial" w:cs="Arial" w:eastAsia="Arial" w:hAnsi="Arial"/>
                <w:sz w:val="18"/>
                <w:szCs w:val="18"/>
                <w:color w:val="auto"/>
              </w:rPr>
              <w:t>Alfred E. Mann</w:t>
            </w:r>
          </w:p>
        </w:tc>
        <w:tc>
          <w:tcPr>
            <w:tcW w:w="17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Matthew J. Pfeffer</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7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9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This certification is being furnished solely to accompany this quarterly report on Form 10-Q pursuant to 18 U.S.C. Section 1350, and shall not be deemed filed for purposes of Section 18 of the Securities Exchange Act of 1934, as amended or the Securities Act of 1933, as amended, into any filing of the Company, whether made before or after the date hereof, regardless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2"/>
    </w:lvl>
  </w:abstractNum>
  <w:abstractNum w:abstractNumId="17">
    <w:nsid w:val="436C6125"/>
    <w:multiLevelType w:val="hybridMultilevel"/>
    <w:lvl w:ilvl="0">
      <w:lvlJc w:val="left"/>
      <w:lvlText w:val="%1"/>
      <w:numFmt w:val="decimal"/>
      <w:start w:val="32"/>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2019-12-14T00:43:37Z</dcterms:created>
  <dcterms:modified xsi:type="dcterms:W3CDTF">2019-12-14T00:43:37Z</dcterms:modified>
</cp:coreProperties>
</file>